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spacing w:before="120" w:beforeAutospacing="0" w:after="120" w:afterAutospacing="0" w:line="360" w:lineRule="auto"/>
        <w:rPr>
          <w:color w:val="auto"/>
          <w:highlight w:val="none"/>
        </w:rPr>
      </w:pPr>
      <w:r>
        <w:rPr>
          <w:color w:val="auto"/>
          <w:highlight w:val="none"/>
        </w:rPr>
        <w:t xml:space="preserve"> </w:t>
      </w:r>
      <w:r/>
    </w:p>
    <w:p>
      <w:pPr>
        <w:pStyle w:val="718"/>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718"/>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8"/>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8"/>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718"/>
        <w:jc w:val="center"/>
        <w:spacing w:before="120" w:beforeAutospacing="0" w:after="120" w:afterAutospacing="0" w:line="360" w:lineRule="auto"/>
        <w:rPr>
          <w:rFonts w:ascii="Arial" w:hAnsi="Arial" w:cs="Arial"/>
          <w:b/>
          <w:color w:val="000000" w:themeColor="text1"/>
          <w:sz w:val="28"/>
          <w:szCs w:val="28"/>
          <w:highlight w:val="none"/>
        </w:rPr>
      </w:pPr>
      <w:r>
        <w:rPr>
          <w:rFonts w:ascii="Arial" w:hAnsi="Arial" w:cs="Arial"/>
          <w:b/>
          <w:color w:val="000000" w:themeColor="text1"/>
          <w:sz w:val="28"/>
          <w:szCs w:val="28"/>
          <w:highlight w:val="none"/>
        </w:rPr>
      </w:r>
      <w:r>
        <w:rPr>
          <w:color w:val="000000" w:themeColor="text1"/>
        </w:rPr>
      </w:r>
      <w:r/>
    </w:p>
    <w:p>
      <w:pPr>
        <w:pStyle w:val="718"/>
        <w:ind w:firstLine="281"/>
        <w:jc w:val="both"/>
        <w:spacing w:before="120" w:beforeAutospacing="0" w:after="120" w:afterAutospacing="0" w:line="360" w:lineRule="auto"/>
        <w:rPr>
          <w:rFonts w:hint="eastAsia" w:ascii="宋体" w:hAnsi="宋体" w:eastAsia="宋体" w:cs="宋体"/>
          <w:color w:val="000000" w:themeColor="text1"/>
          <w:sz w:val="22"/>
          <w:szCs w:val="22"/>
          <w:highlight w:val="none"/>
        </w:rPr>
      </w:pPr>
      <w:r>
        <w:rPr>
          <w:rFonts w:hint="eastAsia" w:ascii="宋体" w:hAnsi="宋体" w:eastAsia="宋体" w:cs="宋体"/>
          <w:b/>
          <w:color w:val="000000" w:themeColor="text1"/>
          <w:sz w:val="28"/>
          <w:szCs w:val="28"/>
          <w:highlight w:val="none"/>
        </w:rPr>
        <w:t xml:space="preserve">项目名称：</w:t>
      </w:r>
      <w:r>
        <w:rPr>
          <w:rFonts w:hint="eastAsia" w:ascii="宋体" w:hAnsi="宋体" w:eastAsia="宋体" w:cs="宋体"/>
          <w:b/>
          <w:color w:val="000000" w:themeColor="text1"/>
          <w:sz w:val="28"/>
          <w:szCs w:val="28"/>
          <w:highlight w:val="none"/>
          <w:lang w:eastAsia="zh-CN"/>
        </w:rPr>
        <w:t xml:space="preserve">滨海县农业综合行政执法大队执法船柴油采购项目</w:t>
      </w:r>
      <w:r>
        <w:rPr>
          <w:color w:val="000000" w:themeColor="text1"/>
        </w:rPr>
      </w:r>
      <w:r/>
    </w:p>
    <w:p>
      <w:pPr>
        <w:pStyle w:val="718"/>
        <w:ind w:firstLine="281"/>
        <w:jc w:val="both"/>
        <w:spacing w:beforeAutospacing="0" w:afterAutospacing="0"/>
        <w:rPr>
          <w:rFonts w:hint="eastAsia" w:ascii="宋体" w:hAnsi="宋体" w:eastAsia="宋体" w:cs="宋体"/>
          <w:color w:val="000000" w:themeColor="text1"/>
          <w:sz w:val="22"/>
          <w:szCs w:val="22"/>
          <w:highlight w:val="none"/>
        </w:rPr>
      </w:pPr>
      <w:r>
        <w:rPr>
          <w:rFonts w:hint="eastAsia" w:ascii="宋体" w:hAnsi="宋体" w:eastAsia="宋体" w:cs="宋体"/>
          <w:b/>
          <w:color w:val="000000" w:themeColor="text1"/>
          <w:sz w:val="28"/>
          <w:szCs w:val="28"/>
          <w:highlight w:val="none"/>
        </w:rPr>
        <w:t xml:space="preserve">项目编号：</w:t>
      </w:r>
      <w:r>
        <w:rPr>
          <w:rFonts w:hint="eastAsia" w:ascii="宋体" w:hAnsi="宋体" w:eastAsia="宋体" w:cs="宋体"/>
          <w:b/>
          <w:color w:val="000000" w:themeColor="text1"/>
          <w:sz w:val="28"/>
          <w:szCs w:val="28"/>
          <w:highlight w:val="none"/>
          <w:u w:val="single"/>
          <w:lang w:eastAsia="zh-CN"/>
        </w:rPr>
        <w:t xml:space="preserve">JSZC-320922-JZCG-G2026-0007</w:t>
      </w:r>
      <w:r>
        <w:rPr>
          <w:color w:val="000000" w:themeColor="text1"/>
        </w:rPr>
      </w:r>
      <w:r/>
    </w:p>
    <w:p>
      <w:pPr>
        <w:pStyle w:val="718"/>
        <w:spacing w:beforeAutospacing="0" w:afterAutospacing="0" w:line="360" w:lineRule="auto"/>
        <w:rPr>
          <w:color w:val="auto"/>
          <w:highlight w:val="none"/>
        </w:rPr>
      </w:pPr>
      <w:r>
        <w:rPr>
          <w:color w:val="auto"/>
          <w:highlight w:val="none"/>
        </w:rPr>
        <w:t xml:space="preserve"> </w:t>
      </w:r>
      <w:r/>
    </w:p>
    <w:p>
      <w:pPr>
        <w:pStyle w:val="718"/>
        <w:spacing w:beforeAutospacing="0" w:afterAutospacing="0" w:line="360" w:lineRule="auto"/>
        <w:rPr>
          <w:color w:val="auto"/>
          <w:highlight w:val="none"/>
        </w:rPr>
      </w:pPr>
      <w:r>
        <w:rPr>
          <w:color w:val="auto"/>
          <w:highlight w:val="none"/>
        </w:rPr>
        <w:t xml:space="preserve"> </w:t>
      </w:r>
      <w:r/>
    </w:p>
    <w:p>
      <w:pPr>
        <w:pStyle w:val="718"/>
        <w:spacing w:beforeAutospacing="0" w:afterAutospacing="0" w:line="360" w:lineRule="auto"/>
        <w:rPr>
          <w:color w:val="auto"/>
          <w:highlight w:val="none"/>
        </w:rPr>
      </w:pPr>
      <w:r>
        <w:rPr>
          <w:color w:val="auto"/>
          <w:highlight w:val="none"/>
        </w:rPr>
        <w:t xml:space="preserve"> </w:t>
      </w:r>
      <w:r/>
    </w:p>
    <w:p>
      <w:pPr>
        <w:pStyle w:val="718"/>
        <w:spacing w:beforeAutospacing="0" w:afterAutospacing="0" w:line="360" w:lineRule="auto"/>
        <w:rPr>
          <w:color w:val="auto"/>
          <w:highlight w:val="none"/>
        </w:rPr>
      </w:pPr>
      <w:r>
        <w:rPr>
          <w:color w:val="auto"/>
          <w:highlight w:val="none"/>
        </w:rPr>
        <w:t xml:space="preserve"> </w:t>
      </w:r>
      <w:r/>
    </w:p>
    <w:p>
      <w:pPr>
        <w:pStyle w:val="718"/>
        <w:spacing w:beforeAutospacing="0" w:afterAutospacing="0" w:line="360" w:lineRule="auto"/>
        <w:rPr>
          <w:color w:val="auto"/>
          <w:highlight w:val="none"/>
        </w:rPr>
      </w:pPr>
      <w:r>
        <w:rPr>
          <w:color w:val="auto"/>
          <w:highlight w:val="none"/>
        </w:rPr>
        <w:t xml:space="preserve">  </w:t>
      </w:r>
      <w:r/>
    </w:p>
    <w:p>
      <w:pPr>
        <w:pStyle w:val="718"/>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采购单位：滨海县农业综合行政执法大队</w:t>
      </w:r>
      <w:r/>
    </w:p>
    <w:p>
      <w:pPr>
        <w:pStyle w:val="718"/>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718"/>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 xml:space="preserve">二〇二六</w:t>
      </w:r>
      <w:r>
        <w:rPr>
          <w:rFonts w:ascii="Arial" w:hAnsi="Arial" w:cs="Arial"/>
          <w:b/>
          <w:color w:val="auto"/>
          <w:sz w:val="32"/>
          <w:szCs w:val="32"/>
          <w:highlight w:val="none"/>
        </w:rPr>
        <w:t xml:space="preserve">年</w:t>
      </w:r>
      <w:r>
        <w:rPr>
          <w:rFonts w:hint="eastAsia" w:ascii="Arial" w:hAnsi="Arial" w:eastAsia="宋体" w:cs="Arial"/>
          <w:b/>
          <w:color w:val="auto"/>
          <w:sz w:val="32"/>
          <w:szCs w:val="32"/>
          <w:highlight w:val="none"/>
          <w:lang w:val="en-US" w:eastAsia="zh-CN"/>
        </w:rPr>
        <w:t xml:space="preserve">六</w:t>
      </w:r>
      <w:r>
        <w:rPr>
          <w:rFonts w:ascii="Arial" w:hAnsi="Arial" w:cs="Arial"/>
          <w:b/>
          <w:color w:val="auto"/>
          <w:sz w:val="32"/>
          <w:szCs w:val="32"/>
          <w:highlight w:val="none"/>
        </w:rPr>
        <w:t xml:space="preserve">月</w:t>
      </w:r>
      <w:r/>
    </w:p>
    <w:p>
      <w:r>
        <w:rPr>
          <w:rFonts w:ascii="Arial" w:hAnsi="Arial" w:cs="Arial"/>
          <w:b/>
          <w:color w:val="auto"/>
          <w:sz w:val="32"/>
          <w:szCs w:val="32"/>
          <w:highlight w:val="none"/>
        </w:rPr>
        <w:br w:type="page" w:clear="all"/>
      </w:r>
      <w:r/>
    </w:p>
    <w:sdt>
      <w:sdtPr>
        <w15:appearance w15:val="boundingBox"/>
        <w15:color w:val="dbdbdb"/>
        <w:id w:val="147468699"/>
        <w:docPartObj>
          <w:docPartGallery w:val="Table of Contents"/>
          <w:docPartUnique w:val="true"/>
        </w:docPartObj>
        <w:rPr>
          <w:rFonts w:ascii="宋体" w:hAnsi="宋体" w:eastAsia="宋体" w:cstheme="minorBidi"/>
          <w:color w:val="auto"/>
          <w:sz w:val="40"/>
          <w:szCs w:val="48"/>
          <w:highlight w:val="none"/>
          <w:lang w:val="en-US" w:eastAsia="zh-CN" w:bidi="ar-SA"/>
        </w:rPr>
      </w:sdtPr>
      <w:sdtContent>
        <w:p>
          <w:pPr>
            <w:rPr>
              <w:rFonts w:ascii="宋体" w:hAnsi="宋体" w:eastAsia="宋体" w:cstheme="minorBidi"/>
              <w:color w:val="auto"/>
              <w:sz w:val="40"/>
              <w:szCs w:val="48"/>
              <w:highlight w:val="none"/>
              <w:lang w:val="en-US" w:eastAsia="zh-CN" w:bidi="ar-SA"/>
            </w:rPr>
          </w:pPr>
          <w:r>
            <w:rPr>
              <w:rFonts w:ascii="宋体" w:hAnsi="宋体" w:eastAsia="宋体" w:cstheme="minorBidi"/>
              <w:color w:val="auto"/>
              <w:sz w:val="40"/>
              <w:szCs w:val="48"/>
              <w:highlight w:val="none"/>
              <w:lang w:val="en-US" w:eastAsia="zh-CN" w:bidi="ar-SA"/>
            </w:rPr>
          </w:r>
          <w:r/>
        </w:p>
        <w:p>
          <w:pPr>
            <w:ind w:left="0" w:right="0" w:firstLine="0"/>
            <w:jc w:val="center"/>
            <w:spacing w:before="0" w:after="0" w:line="240" w:lineRule="auto"/>
            <w:rPr>
              <w:color w:val="auto"/>
              <w:sz w:val="40"/>
              <w:szCs w:val="48"/>
              <w:highlight w:val="none"/>
            </w:rPr>
          </w:pPr>
          <w:r>
            <w:rPr>
              <w:rFonts w:ascii="宋体" w:hAnsi="宋体" w:eastAsia="宋体"/>
              <w:color w:val="auto"/>
              <w:sz w:val="40"/>
              <w:szCs w:val="48"/>
              <w:highlight w:val="none"/>
            </w:rPr>
            <w:t xml:space="preserve">目录</w:t>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_Toc26610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_Toc26610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_Toc16503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第二章 </w:t>
          </w:r>
          <w:r>
            <w:rPr>
              <w:rFonts w:hint="eastAsia" w:ascii="宋体" w:hAnsi="宋体" w:eastAsia="宋体" w:cs="宋体"/>
              <w:bCs w:val="0"/>
              <w:color w:val="auto"/>
              <w:sz w:val="36"/>
              <w:szCs w:val="36"/>
              <w:highlight w:val="none"/>
              <w:lang w:eastAsia="zh-CN"/>
            </w:rPr>
            <w:t xml:space="preserve">投标供应商</w:t>
          </w:r>
          <w:r>
            <w:rPr>
              <w:rFonts w:hint="eastAsia" w:ascii="宋体" w:hAnsi="宋体" w:eastAsia="宋体" w:cs="宋体"/>
              <w:bCs w:val="0"/>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_Toc16503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5</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_Toc3194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第三章 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2</w:t>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_Toc11181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lang w:val="en-US" w:eastAsia="zh-CN"/>
            </w:rPr>
            <w:t xml:space="preserve">2</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lang w:val="en-US" w:eastAsia="zh-CN"/>
            </w:rPr>
            <w:t xml:space="preserve">7</w:t>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_Toc26134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_Toc26134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23</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0"/>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_Toc18305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_Toc18305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51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716"/>
            <w:tabs>
              <w:tab w:val="right" w:pos="9746" w:leader="dot"/>
            </w:tabs>
            <w:rPr>
              <w:color w:val="auto"/>
              <w:highlight w:val="none"/>
            </w:rPr>
          </w:pPr>
          <w:r>
            <w:rPr>
              <w:color w:val="auto"/>
              <w:highlight w:val="none"/>
            </w:rPr>
          </w:r>
          <w:r/>
        </w:p>
        <w:p>
          <w:pPr>
            <w:jc w:val="center"/>
            <w:rPr>
              <w:rFonts w:hint="eastAsia" w:ascii="方正小标宋简体" w:hAnsi="方正小标宋简体" w:eastAsia="方正小标宋简体" w:cs="方正小标宋简体"/>
              <w:color w:val="auto"/>
              <w:sz w:val="44"/>
              <w:szCs w:val="44"/>
              <w:highlight w:val="none"/>
            </w:rPr>
          </w:pPr>
          <w:r>
            <w:rPr>
              <w:color w:val="auto"/>
              <w:highlight w:val="none"/>
            </w:rPr>
            <w:fldChar w:fldCharType="end"/>
          </w:r>
          <w:bookmarkStart w:id="0" w:name="_Toc10798"/>
          <w:r/>
          <w:r/>
        </w:p>
      </w:sdtContent>
    </w:sdt>
    <w:p>
      <w:pPr>
        <w:pStyle w:val="718"/>
        <w:jc w:val="center"/>
        <w:keepLines w:val="0"/>
        <w:keepNext/>
        <w:pageBreakBefore w:val="0"/>
        <w:spacing w:beforeAutospacing="0" w:afterAutospacing="0" w:line="360" w:lineRule="auto"/>
        <w:widowControl w:val="off"/>
        <w:rPr>
          <w:rFonts w:hint="eastAsia" w:ascii="方正小标宋简体" w:hAnsi="方正小标宋简体" w:eastAsia="方正小标宋简体" w:cs="方正小标宋简体"/>
          <w:color w:val="auto"/>
          <w:sz w:val="44"/>
          <w:szCs w:val="44"/>
          <w:highlight w:val="none"/>
        </w:rPr>
        <w:sectPr>
          <w:footnotePr/>
          <w:endnotePr/>
          <w:type w:val="nextPage"/>
          <w:pgSz w:w="11906" w:h="16838" w:orient="portrait"/>
          <w:pgMar w:top="1440" w:right="1080" w:bottom="1440" w:left="1080" w:header="851" w:footer="992" w:gutter="0"/>
          <w:pgNumType w:start="1"/>
          <w:cols w:num="1" w:sep="0" w:space="425" w:equalWidth="1"/>
          <w:docGrid w:linePitch="360"/>
        </w:sectPr>
        <w:outlineLvl w:val="0"/>
      </w:pPr>
      <w:r/>
      <w:bookmarkStart w:id="1" w:name="_Toc26610"/>
      <w:r/>
      <w:r/>
    </w:p>
    <w:p>
      <w:pPr>
        <w:pStyle w:val="718"/>
        <w:jc w:val="center"/>
        <w:keepLines w:val="0"/>
        <w:keepNext/>
        <w:pageBreakBefore w:val="0"/>
        <w:spacing w:beforeAutospacing="0" w:afterAutospacing="0" w:line="360" w:lineRule="auto"/>
        <w:widowControl w:val="off"/>
        <w:rPr>
          <w:highlight w:val="none"/>
        </w:rPr>
        <w:outlineLvl w:val="0"/>
      </w:pPr>
      <w:r>
        <w:rPr>
          <w:rFonts w:hint="eastAsia" w:ascii="方正小标宋简体" w:hAnsi="方正小标宋简体" w:eastAsia="方正小标宋简体" w:cs="方正小标宋简体"/>
          <w:color w:val="auto"/>
          <w:sz w:val="44"/>
          <w:szCs w:val="44"/>
          <w:highlight w:val="none"/>
        </w:rPr>
        <w:t xml:space="preserve">第一章 </w:t>
      </w:r>
      <w:r>
        <w:rPr>
          <w:rFonts w:hint="eastAsia" w:ascii="方正小标宋简体" w:hAnsi="方正小标宋简体" w:eastAsia="方正小标宋简体" w:cs="方正小标宋简体"/>
          <w:color w:val="auto"/>
          <w:sz w:val="44"/>
          <w:szCs w:val="44"/>
          <w:highlight w:val="none"/>
          <w:lang w:val="en-US" w:eastAsia="zh-CN"/>
        </w:rPr>
        <w:t xml:space="preserve">招标公告</w:t>
      </w:r>
      <w:bookmarkEnd w:id="0"/>
      <w:r/>
      <w:bookmarkEnd w:id="1"/>
      <w:r/>
      <w:r/>
    </w:p>
    <w:p>
      <w:pPr>
        <w:pStyle w:val="718"/>
        <w:ind w:firstLine="480"/>
        <w:jc w:val="both"/>
        <w:pageBreakBefore w:val="0"/>
        <w:spacing w:beforeAutospacing="0" w:afterAutospacing="0"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val="0"/>
          <w:bCs/>
          <w:color w:val="000000" w:themeColor="text1"/>
          <w:sz w:val="24"/>
          <w:szCs w:val="24"/>
          <w:highlight w:val="white"/>
          <w:u w:val="single"/>
          <w:lang w:val="en-US" w:eastAsia="zh-CN" w:bidi="ar-SA"/>
        </w:rPr>
        <w:t xml:space="preserve">滨海县农业综合行政执法大队执法船柴油采购项目</w:t>
      </w:r>
      <w:r>
        <w:rPr>
          <w:rFonts w:hint="eastAsia" w:ascii="宋体" w:hAnsi="宋体" w:eastAsia="宋体" w:cs="宋体"/>
          <w:color w:val="000000" w:themeColor="text1"/>
          <w:sz w:val="24"/>
          <w:szCs w:val="24"/>
          <w:highlight w:val="white"/>
        </w:rPr>
        <w:t xml:space="preserve">招标项目的潜在</w:t>
      </w:r>
      <w:r>
        <w:rPr>
          <w:rFonts w:hint="eastAsia" w:ascii="宋体" w:hAnsi="宋体" w:eastAsia="宋体" w:cs="宋体"/>
          <w:color w:val="000000" w:themeColor="text1"/>
          <w:sz w:val="24"/>
          <w:szCs w:val="24"/>
          <w:highlight w:val="white"/>
          <w:lang w:eastAsia="zh-CN"/>
        </w:rPr>
        <w:t xml:space="preserve">投标供应商</w:t>
      </w:r>
      <w:r>
        <w:rPr>
          <w:rFonts w:hint="eastAsia" w:ascii="宋体" w:hAnsi="宋体" w:eastAsia="宋体" w:cs="宋体"/>
          <w:color w:val="000000" w:themeColor="text1"/>
          <w:sz w:val="24"/>
          <w:szCs w:val="24"/>
          <w:highlight w:val="white"/>
        </w:rPr>
        <w:t xml:space="preserve">可在</w:t>
      </w:r>
      <w:r>
        <w:rPr>
          <w:rFonts w:hint="eastAsia" w:ascii="宋体" w:hAnsi="宋体" w:eastAsia="宋体" w:cs="宋体"/>
          <w:i w:val="0"/>
          <w:iCs w:val="0"/>
          <w:caps w:val="0"/>
          <w:color w:val="000000" w:themeColor="text1"/>
          <w:spacing w:val="0"/>
          <w:sz w:val="24"/>
          <w:szCs w:val="24"/>
          <w:highlight w:val="white"/>
          <w:shd w:val="clear" w:color="auto" w:fill="ffffff"/>
        </w:rPr>
        <w:t xml:space="preserve">“苏采云”系统内免费下载（</w:t>
      </w:r>
      <w:r>
        <w:rPr>
          <w:rFonts w:hint="eastAsia" w:ascii="宋体" w:hAnsi="宋体" w:eastAsia="宋体" w:cs="宋体"/>
          <w:i w:val="0"/>
          <w:iCs w:val="0"/>
          <w:caps w:val="0"/>
          <w:color w:val="000000" w:themeColor="text1"/>
          <w:spacing w:val="0"/>
          <w:sz w:val="24"/>
          <w:szCs w:val="24"/>
          <w:highlight w:val="white"/>
          <w:shd w:val="clear" w:color="auto" w:fill="ffffff"/>
          <w:lang w:eastAsia="zh-CN"/>
        </w:rPr>
        <w:t xml:space="preserve">投标供应商</w:t>
      </w:r>
      <w:r>
        <w:rPr>
          <w:rFonts w:hint="eastAsia" w:ascii="宋体" w:hAnsi="宋体" w:eastAsia="宋体" w:cs="宋体"/>
          <w:i w:val="0"/>
          <w:iCs w:val="0"/>
          <w:caps w:val="0"/>
          <w:color w:val="000000" w:themeColor="text1"/>
          <w:spacing w:val="0"/>
          <w:sz w:val="24"/>
          <w:szCs w:val="24"/>
          <w:highlight w:val="white"/>
          <w:shd w:val="clear" w:color="auto" w:fill="ffffff"/>
        </w:rPr>
        <w:t xml:space="preserve">必须在苏采云系统中获取采购文件，方能参与政府采购项目）</w:t>
      </w:r>
      <w:r>
        <w:rPr>
          <w:rFonts w:hint="eastAsia" w:ascii="宋体" w:hAnsi="宋体" w:eastAsia="宋体" w:cs="宋体"/>
          <w:color w:val="000000" w:themeColor="text1"/>
          <w:sz w:val="24"/>
          <w:szCs w:val="24"/>
          <w:highlight w:val="white"/>
        </w:rPr>
        <w:t xml:space="preserve">，并于</w:t>
      </w:r>
      <w:r>
        <w:rPr>
          <w:rFonts w:hint="eastAsia" w:ascii="宋体" w:hAnsi="宋体" w:eastAsia="宋体" w:cs="宋体"/>
          <w:color w:val="000000" w:themeColor="text1"/>
          <w:sz w:val="24"/>
          <w:szCs w:val="24"/>
          <w:highlight w:val="white"/>
          <w:u w:val="single"/>
          <w:lang w:val="en-US" w:eastAsia="zh-CN"/>
        </w:rPr>
        <w:t xml:space="preserve">2026年6月26日9点00分</w:t>
      </w:r>
      <w:r>
        <w:rPr>
          <w:rFonts w:hint="eastAsia" w:ascii="宋体" w:hAnsi="宋体" w:eastAsia="宋体" w:cs="宋体"/>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rPr>
        <w:t xml:space="preserve">北京时间）前递交投标文件。</w:t>
      </w:r>
      <w:r>
        <w:rPr>
          <w:color w:val="000000" w:themeColor="text1"/>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rPr>
        <w:outlineLvl w:val="0"/>
      </w:pPr>
      <w:r>
        <w:rPr>
          <w:color w:val="000000" w:themeColor="text1"/>
          <w:highlight w:val="white"/>
        </w:rPr>
      </w:r>
      <w:bookmarkStart w:id="2" w:name="_Toc35393621"/>
      <w:r>
        <w:rPr>
          <w:color w:val="000000" w:themeColor="text1"/>
          <w:highlight w:val="white"/>
        </w:rPr>
      </w:r>
      <w:bookmarkStart w:id="3" w:name="_Toc12143"/>
      <w:r>
        <w:rPr>
          <w:color w:val="000000" w:themeColor="text1"/>
          <w:highlight w:val="white"/>
        </w:rPr>
      </w:r>
      <w:bookmarkStart w:id="4" w:name="_Toc28359002"/>
      <w:r>
        <w:rPr>
          <w:color w:val="000000" w:themeColor="text1"/>
          <w:highlight w:val="white"/>
        </w:rPr>
      </w:r>
      <w:bookmarkStart w:id="5" w:name="_Toc10391"/>
      <w:r>
        <w:rPr>
          <w:color w:val="000000" w:themeColor="text1"/>
          <w:highlight w:val="white"/>
        </w:rPr>
      </w:r>
      <w:bookmarkStart w:id="6" w:name="_Toc35393790"/>
      <w:r>
        <w:rPr>
          <w:color w:val="000000" w:themeColor="text1"/>
          <w:highlight w:val="white"/>
        </w:rPr>
      </w:r>
      <w:bookmarkStart w:id="7" w:name="_Toc28359079"/>
      <w:r>
        <w:rPr>
          <w:color w:val="000000" w:themeColor="text1"/>
          <w:highlight w:val="white"/>
        </w:rPr>
      </w:r>
      <w:bookmarkStart w:id="8" w:name="_Hlk24379207"/>
      <w:r>
        <w:rPr>
          <w:color w:val="000000" w:themeColor="text1"/>
          <w:highlight w:val="white"/>
        </w:rPr>
      </w:r>
      <w:bookmarkStart w:id="9" w:name="_Toc38985263"/>
      <w:r>
        <w:rPr>
          <w:rFonts w:hint="eastAsia" w:ascii="宋体" w:hAnsi="宋体" w:eastAsia="宋体" w:cs="宋体"/>
          <w:b/>
          <w:color w:val="000000" w:themeColor="text1"/>
          <w:sz w:val="24"/>
          <w:szCs w:val="24"/>
          <w:highlight w:val="white"/>
        </w:rPr>
        <w:t xml:space="preserve">一、项目基本情况</w:t>
      </w:r>
      <w:bookmarkEnd w:id="2"/>
      <w:r>
        <w:rPr>
          <w:color w:val="000000" w:themeColor="text1"/>
          <w:highlight w:val="white"/>
        </w:rPr>
      </w:r>
      <w:bookmarkEnd w:id="3"/>
      <w:r>
        <w:rPr>
          <w:color w:val="000000" w:themeColor="text1"/>
          <w:highlight w:val="white"/>
        </w:rPr>
      </w:r>
      <w:bookmarkEnd w:id="4"/>
      <w:r>
        <w:rPr>
          <w:color w:val="000000" w:themeColor="text1"/>
          <w:highlight w:val="white"/>
        </w:rPr>
      </w:r>
      <w:bookmarkEnd w:id="5"/>
      <w:r>
        <w:rPr>
          <w:color w:val="000000" w:themeColor="text1"/>
          <w:highlight w:val="white"/>
        </w:rPr>
      </w:r>
      <w:bookmarkEnd w:id="6"/>
      <w:r>
        <w:rPr>
          <w:color w:val="000000" w:themeColor="text1"/>
          <w:highlight w:val="white"/>
        </w:rPr>
      </w:r>
      <w:bookmarkEnd w:id="7"/>
      <w:r>
        <w:rPr>
          <w:color w:val="000000" w:themeColor="text1"/>
          <w:highlight w:val="white"/>
        </w:rPr>
      </w:r>
      <w:bookmarkEnd w:id="8"/>
      <w:r>
        <w:rPr>
          <w:color w:val="000000" w:themeColor="text1"/>
          <w:highlight w:val="white"/>
        </w:rPr>
      </w:r>
      <w:bookmarkEnd w:id="9"/>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1.项目编号：</w:t>
      </w:r>
      <w:r>
        <w:rPr>
          <w:rFonts w:hint="eastAsia" w:ascii="宋体" w:hAnsi="宋体" w:eastAsia="宋体" w:cs="宋体"/>
          <w:color w:val="000000" w:themeColor="text1"/>
          <w:sz w:val="24"/>
          <w:szCs w:val="24"/>
          <w:highlight w:val="white"/>
          <w:u w:val="single"/>
          <w:lang w:eastAsia="zh-CN"/>
        </w:rPr>
        <w:t xml:space="preserve">JSZC-320922-JZCG-G2026-0007</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2.项目名称：</w:t>
      </w:r>
      <w:r>
        <w:rPr>
          <w:rFonts w:hint="eastAsia" w:ascii="宋体" w:hAnsi="宋体" w:eastAsia="宋体" w:cs="宋体"/>
          <w:color w:val="000000" w:themeColor="text1"/>
          <w:sz w:val="24"/>
          <w:szCs w:val="24"/>
          <w:highlight w:val="white"/>
          <w:u w:val="single"/>
          <w:lang w:eastAsia="zh-CN"/>
        </w:rPr>
        <w:t xml:space="preserve">滨海县农业综合行政执法大队执法船柴油采购项目</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3.</w:t>
      </w:r>
      <w:r>
        <w:rPr>
          <w:rFonts w:hint="eastAsia" w:ascii="宋体" w:hAnsi="宋体" w:eastAsia="宋体" w:cs="宋体"/>
          <w:i w:val="0"/>
          <w:iCs w:val="0"/>
          <w:caps w:val="0"/>
          <w:color w:val="000000" w:themeColor="text1"/>
          <w:spacing w:val="0"/>
          <w:sz w:val="24"/>
          <w:szCs w:val="24"/>
          <w:highlight w:val="white"/>
          <w:shd w:val="clear" w:color="auto" w:fill="ffffff"/>
        </w:rPr>
        <w:t xml:space="preserve">采购方式：</w:t>
      </w:r>
      <w:r>
        <w:rPr>
          <w:rFonts w:hint="eastAsia" w:ascii="宋体" w:hAnsi="宋体" w:eastAsia="宋体" w:cs="宋体"/>
          <w:i w:val="0"/>
          <w:iCs w:val="0"/>
          <w:caps w:val="0"/>
          <w:color w:val="000000" w:themeColor="text1"/>
          <w:spacing w:val="0"/>
          <w:sz w:val="24"/>
          <w:szCs w:val="24"/>
          <w:highlight w:val="white"/>
          <w:u w:val="single"/>
          <w:shd w:val="clear" w:color="auto" w:fill="ffffff"/>
          <w:lang w:val="en-US" w:eastAsia="zh-CN"/>
        </w:rPr>
        <w:t xml:space="preserve">公开招标</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.预算金额：</w:t>
      </w:r>
      <w:r>
        <w:rPr>
          <w:rFonts w:hint="eastAsia" w:ascii="宋体" w:hAnsi="宋体" w:eastAsia="宋体" w:cs="宋体"/>
          <w:color w:val="000000" w:themeColor="text1"/>
          <w:sz w:val="24"/>
          <w:szCs w:val="24"/>
          <w:highlight w:val="white"/>
          <w:u w:val="single"/>
          <w:lang w:val="en-US" w:eastAsia="zh-CN"/>
        </w:rPr>
        <w:t xml:space="preserve">119.2</w:t>
      </w:r>
      <w:r>
        <w:rPr>
          <w:rFonts w:hint="eastAsia" w:ascii="宋体" w:hAnsi="宋体" w:eastAsia="宋体" w:cs="宋体"/>
          <w:color w:val="000000" w:themeColor="text1"/>
          <w:sz w:val="24"/>
          <w:szCs w:val="24"/>
          <w:highlight w:val="white"/>
          <w:u w:val="single"/>
        </w:rPr>
        <w:t xml:space="preserve">万元（其中</w:t>
      </w:r>
      <w:r>
        <w:rPr>
          <w:rFonts w:hint="eastAsia" w:ascii="宋体" w:hAnsi="宋体" w:eastAsia="宋体" w:cs="宋体"/>
          <w:color w:val="000000" w:themeColor="text1"/>
          <w:sz w:val="24"/>
          <w:szCs w:val="24"/>
          <w:highlight w:val="white"/>
          <w:u w:val="single"/>
          <w:lang w:val="en-US" w:eastAsia="zh-CN"/>
        </w:rPr>
        <w:t xml:space="preserve">柴油预算110万元</w:t>
      </w:r>
      <w:r>
        <w:rPr>
          <w:rFonts w:hint="eastAsia" w:ascii="宋体" w:hAnsi="宋体" w:eastAsia="宋体" w:cs="宋体"/>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u w:val="single"/>
          <w:lang w:val="en-US" w:eastAsia="zh-CN"/>
        </w:rPr>
        <w:t xml:space="preserve">95号汽油预算9.2万元</w:t>
      </w:r>
      <w:r>
        <w:rPr>
          <w:rFonts w:hint="eastAsia" w:ascii="宋体" w:hAnsi="宋体" w:eastAsia="宋体" w:cs="宋体"/>
          <w:color w:val="000000" w:themeColor="text1"/>
          <w:sz w:val="24"/>
          <w:szCs w:val="24"/>
          <w:highlight w:val="white"/>
          <w:u w:val="single"/>
        </w:rPr>
        <w:t xml:space="preserve">）</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最高限价：</w:t>
      </w:r>
      <w:r>
        <w:rPr>
          <w:rFonts w:hint="eastAsia" w:ascii="宋体" w:hAnsi="宋体" w:eastAsia="宋体" w:cs="宋体"/>
          <w:color w:val="000000" w:themeColor="text1"/>
          <w:sz w:val="24"/>
          <w:szCs w:val="24"/>
          <w:highlight w:val="white"/>
          <w:u w:val="single"/>
          <w:lang w:val="en-US" w:eastAsia="zh-CN"/>
        </w:rPr>
        <w:t xml:space="preserve">119.2</w:t>
      </w:r>
      <w:r>
        <w:rPr>
          <w:rFonts w:hint="eastAsia" w:ascii="宋体" w:hAnsi="宋体" w:eastAsia="宋体" w:cs="宋体"/>
          <w:color w:val="000000" w:themeColor="text1"/>
          <w:sz w:val="24"/>
          <w:szCs w:val="24"/>
          <w:highlight w:val="white"/>
          <w:u w:val="single"/>
        </w:rPr>
        <w:t xml:space="preserve">万元（其中</w:t>
      </w:r>
      <w:r>
        <w:rPr>
          <w:rFonts w:hint="eastAsia" w:ascii="宋体" w:hAnsi="宋体" w:eastAsia="宋体" w:cs="宋体"/>
          <w:color w:val="000000" w:themeColor="text1"/>
          <w:sz w:val="24"/>
          <w:szCs w:val="24"/>
          <w:highlight w:val="white"/>
          <w:u w:val="single"/>
          <w:lang w:val="en-US" w:eastAsia="zh-CN"/>
        </w:rPr>
        <w:t xml:space="preserve">柴油预算110万元</w:t>
      </w:r>
      <w:r>
        <w:rPr>
          <w:rFonts w:hint="eastAsia" w:ascii="宋体" w:hAnsi="宋体" w:eastAsia="宋体" w:cs="宋体"/>
          <w:color w:val="000000" w:themeColor="text1"/>
          <w:sz w:val="24"/>
          <w:szCs w:val="24"/>
          <w:highlight w:val="white"/>
          <w:u w:val="single"/>
        </w:rPr>
        <w:t xml:space="preserve">，</w:t>
      </w:r>
      <w:r>
        <w:rPr>
          <w:rFonts w:hint="eastAsia" w:ascii="宋体" w:hAnsi="宋体" w:eastAsia="宋体" w:cs="宋体"/>
          <w:color w:val="000000" w:themeColor="text1"/>
          <w:sz w:val="24"/>
          <w:szCs w:val="24"/>
          <w:highlight w:val="white"/>
          <w:u w:val="single"/>
          <w:lang w:val="en-US" w:eastAsia="zh-CN"/>
        </w:rPr>
        <w:t xml:space="preserve">95号汽油预算9.2万元</w:t>
      </w:r>
      <w:r>
        <w:rPr>
          <w:rFonts w:hint="eastAsia" w:ascii="宋体" w:hAnsi="宋体" w:eastAsia="宋体" w:cs="宋体"/>
          <w:color w:val="000000" w:themeColor="text1"/>
          <w:sz w:val="24"/>
          <w:szCs w:val="24"/>
          <w:highlight w:val="white"/>
          <w:u w:val="single"/>
        </w:rPr>
        <w:t xml:space="preserve">）</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.采购需求（简介）：</w:t>
      </w:r>
      <w:r>
        <w:rPr>
          <w:rFonts w:hint="eastAsia" w:ascii="宋体" w:hAnsi="宋体" w:eastAsia="宋体" w:cs="宋体"/>
          <w:color w:val="000000" w:themeColor="text1"/>
          <w:sz w:val="24"/>
          <w:szCs w:val="24"/>
          <w:highlight w:val="white"/>
          <w:u w:val="single"/>
        </w:rPr>
        <w:t xml:space="preserve">本项目为滨海县农业综合行政执法大队执法船只年度用油采购，采购内容包含0号柴油、9</w:t>
      </w:r>
      <w:r>
        <w:rPr>
          <w:rFonts w:hint="eastAsia" w:ascii="宋体" w:hAnsi="宋体" w:eastAsia="宋体" w:cs="宋体"/>
          <w:color w:val="000000" w:themeColor="text1"/>
          <w:sz w:val="24"/>
          <w:szCs w:val="24"/>
          <w:highlight w:val="white"/>
          <w:u w:val="single"/>
          <w:lang w:val="en-US" w:eastAsia="zh-CN"/>
        </w:rPr>
        <w:t xml:space="preserve">5</w:t>
      </w:r>
      <w:r>
        <w:rPr>
          <w:rFonts w:hint="eastAsia" w:ascii="宋体" w:hAnsi="宋体" w:eastAsia="宋体" w:cs="宋体"/>
          <w:color w:val="000000" w:themeColor="text1"/>
          <w:sz w:val="24"/>
          <w:szCs w:val="24"/>
          <w:highlight w:val="white"/>
          <w:u w:val="single"/>
        </w:rPr>
        <w:t xml:space="preserve">号汽油，根据采购人实际使用需求分批次分别配送至采购人指定地点，提供专业加注服务</w:t>
      </w:r>
      <w:r>
        <w:rPr>
          <w:rFonts w:hint="eastAsia" w:ascii="宋体" w:hAnsi="宋体" w:eastAsia="宋体" w:cs="宋体"/>
          <w:color w:val="000000" w:themeColor="text1"/>
          <w:sz w:val="24"/>
          <w:szCs w:val="24"/>
          <w:highlight w:val="white"/>
          <w:u w:val="single"/>
          <w:lang w:eastAsia="zh-CN"/>
        </w:rPr>
        <w:t xml:space="preserve">，</w:t>
      </w:r>
      <w:r>
        <w:rPr>
          <w:rFonts w:hint="eastAsia" w:ascii="宋体" w:hAnsi="宋体" w:eastAsia="宋体" w:cs="宋体"/>
          <w:color w:val="000000" w:themeColor="text1"/>
          <w:sz w:val="24"/>
          <w:szCs w:val="24"/>
          <w:highlight w:val="white"/>
          <w:u w:val="single"/>
        </w:rPr>
        <w:t xml:space="preserve">具体技术参数及服务要求详见采购文件。</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u w:val="single"/>
          <w:lang w:val="en-US" w:eastAsia="zh-CN"/>
        </w:rPr>
        <w:t xml:space="preserve">本项目</w:t>
      </w:r>
      <w:r>
        <w:rPr>
          <w:rFonts w:hint="eastAsia" w:ascii="宋体" w:hAnsi="宋体" w:eastAsia="宋体" w:cs="宋体"/>
          <w:color w:val="000000" w:themeColor="text1"/>
          <w:sz w:val="24"/>
          <w:szCs w:val="24"/>
          <w:highlight w:val="white"/>
          <w:u w:val="single"/>
        </w:rPr>
        <w:t xml:space="preserve">采用优惠率报价，投标优惠率范围为0-100%，最终结算时按实际发生量据实结算。</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.合同履行期限：</w:t>
      </w:r>
      <w:r>
        <w:rPr>
          <w:rFonts w:hint="eastAsia" w:ascii="宋体" w:hAnsi="宋体" w:eastAsia="宋体" w:cs="宋体"/>
          <w:color w:val="000000" w:themeColor="text1"/>
          <w:sz w:val="24"/>
          <w:szCs w:val="24"/>
          <w:highlight w:val="white"/>
          <w:u w:val="single"/>
          <w:lang w:val="en-US" w:eastAsia="zh-CN"/>
        </w:rPr>
        <w:t xml:space="preserve">1年（自合同签订之日起）</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本项目（是/否）接受联合体参与</w:t>
      </w:r>
      <w:r>
        <w:rPr>
          <w:rFonts w:hint="eastAsia" w:ascii="宋体" w:hAnsi="宋体" w:eastAsia="宋体" w:cs="宋体"/>
          <w:color w:val="000000" w:themeColor="text1"/>
          <w:sz w:val="24"/>
          <w:szCs w:val="24"/>
          <w:highlight w:val="white"/>
          <w:lang w:val="en-US" w:eastAsia="zh-CN"/>
        </w:rPr>
        <w:t xml:space="preserve">投标：</w:t>
      </w:r>
      <w:r>
        <w:rPr>
          <w:rFonts w:hint="eastAsia" w:ascii="宋体" w:hAnsi="宋体" w:eastAsia="宋体" w:cs="宋体"/>
          <w:color w:val="000000" w:themeColor="text1"/>
          <w:sz w:val="24"/>
          <w:szCs w:val="24"/>
          <w:highlight w:val="white"/>
          <w:u w:val="single"/>
          <w:lang w:val="en-US" w:eastAsia="zh-CN"/>
        </w:rPr>
        <w:t xml:space="preserve">否</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rPr>
        <w:outlineLvl w:val="0"/>
      </w:pPr>
      <w:r>
        <w:rPr>
          <w:color w:val="000000" w:themeColor="text1"/>
          <w:highlight w:val="white"/>
        </w:rPr>
      </w:r>
      <w:bookmarkStart w:id="10" w:name="_Toc35393622"/>
      <w:r>
        <w:rPr>
          <w:color w:val="000000" w:themeColor="text1"/>
          <w:highlight w:val="white"/>
        </w:rPr>
      </w:r>
      <w:bookmarkStart w:id="11" w:name="_Toc38985264"/>
      <w:r>
        <w:rPr>
          <w:color w:val="000000" w:themeColor="text1"/>
          <w:highlight w:val="white"/>
        </w:rPr>
      </w:r>
      <w:bookmarkStart w:id="12" w:name="_Toc28359080"/>
      <w:r>
        <w:rPr>
          <w:color w:val="000000" w:themeColor="text1"/>
          <w:highlight w:val="white"/>
        </w:rPr>
      </w:r>
      <w:bookmarkStart w:id="13" w:name="_Toc28359003"/>
      <w:r>
        <w:rPr>
          <w:color w:val="000000" w:themeColor="text1"/>
          <w:highlight w:val="white"/>
        </w:rPr>
      </w:r>
      <w:bookmarkStart w:id="14" w:name="_Toc24897"/>
      <w:r>
        <w:rPr>
          <w:color w:val="000000" w:themeColor="text1"/>
          <w:highlight w:val="white"/>
        </w:rPr>
      </w:r>
      <w:bookmarkStart w:id="15" w:name="_Toc35393791"/>
      <w:r>
        <w:rPr>
          <w:color w:val="000000" w:themeColor="text1"/>
          <w:highlight w:val="white"/>
        </w:rPr>
      </w:r>
      <w:bookmarkStart w:id="16" w:name="_Toc10554"/>
      <w:r>
        <w:rPr>
          <w:rFonts w:hint="eastAsia" w:ascii="宋体" w:hAnsi="宋体" w:eastAsia="宋体" w:cs="宋体"/>
          <w:b/>
          <w:color w:val="000000" w:themeColor="text1"/>
          <w:sz w:val="24"/>
          <w:szCs w:val="24"/>
          <w:highlight w:val="white"/>
        </w:rPr>
        <w:t xml:space="preserve">二、申请人的资格要求：</w:t>
      </w:r>
      <w:bookmarkEnd w:id="10"/>
      <w:r>
        <w:rPr>
          <w:color w:val="000000" w:themeColor="text1"/>
          <w:highlight w:val="white"/>
        </w:rPr>
      </w:r>
      <w:bookmarkEnd w:id="11"/>
      <w:r>
        <w:rPr>
          <w:color w:val="000000" w:themeColor="text1"/>
          <w:highlight w:val="white"/>
        </w:rPr>
      </w:r>
      <w:bookmarkEnd w:id="12"/>
      <w:r>
        <w:rPr>
          <w:color w:val="000000" w:themeColor="text1"/>
          <w:highlight w:val="white"/>
        </w:rPr>
      </w:r>
      <w:bookmarkEnd w:id="13"/>
      <w:r>
        <w:rPr>
          <w:color w:val="000000" w:themeColor="text1"/>
          <w:highlight w:val="white"/>
        </w:rPr>
      </w:r>
      <w:bookmarkEnd w:id="14"/>
      <w:r>
        <w:rPr>
          <w:color w:val="000000" w:themeColor="text1"/>
          <w:highlight w:val="white"/>
        </w:rPr>
      </w:r>
      <w:bookmarkEnd w:id="15"/>
      <w:r>
        <w:rPr>
          <w:color w:val="000000" w:themeColor="text1"/>
          <w:highlight w:val="white"/>
        </w:rPr>
      </w:r>
      <w:bookmarkEnd w:id="16"/>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1.满足《中华人民共和国政府采购法》第二十二条规定，并提供下列材料：</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 法人或者其他组织的营业执照等证明文件，自然人的身份证明；</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1.2上一年度的财务状况报</w:t>
      </w:r>
      <w:r>
        <w:rPr>
          <w:rFonts w:hint="eastAsia" w:ascii="宋体" w:hAnsi="宋体" w:eastAsia="宋体" w:cs="宋体"/>
          <w:color w:val="000000" w:themeColor="text1"/>
          <w:sz w:val="24"/>
          <w:szCs w:val="24"/>
          <w:highlight w:val="white"/>
          <w:lang w:val="en-US" w:eastAsia="zh-CN"/>
        </w:rPr>
        <w:t xml:space="preserve">告</w:t>
      </w:r>
      <w:r>
        <w:rPr>
          <w:rFonts w:hint="eastAsia" w:ascii="宋体" w:hAnsi="宋体" w:eastAsia="宋体" w:cs="宋体"/>
          <w:color w:val="000000" w:themeColor="text1"/>
          <w:sz w:val="24"/>
          <w:szCs w:val="24"/>
          <w:highlight w:val="white"/>
        </w:rPr>
        <w:t xml:space="preserve">（成立不满一年无需提供</w:t>
      </w:r>
      <w:r>
        <w:rPr>
          <w:rFonts w:hint="eastAsia" w:ascii="宋体" w:hAnsi="宋体" w:eastAsia="宋体" w:cs="宋体"/>
          <w:color w:val="000000" w:themeColor="text1"/>
          <w:sz w:val="24"/>
          <w:szCs w:val="24"/>
          <w:highlight w:val="white"/>
          <w:lang w:eastAsia="zh-CN"/>
        </w:rPr>
        <w:t xml:space="preserve">，投标人投标时可提供202</w:t>
      </w: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lang w:eastAsia="zh-CN"/>
        </w:rPr>
        <w:t xml:space="preserve">或202</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lang w:eastAsia="zh-CN"/>
        </w:rPr>
        <w:t xml:space="preserve">年度财务报表，在评标时均予以认可。</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1.3</w:t>
      </w:r>
      <w:r>
        <w:rPr>
          <w:rFonts w:hint="eastAsia" w:ascii="宋体" w:hAnsi="宋体" w:eastAsia="宋体" w:cs="宋体"/>
          <w:color w:val="000000" w:themeColor="text1"/>
          <w:sz w:val="24"/>
          <w:szCs w:val="24"/>
          <w:highlight w:val="white"/>
        </w:rPr>
        <w:t xml:space="preserve">具备履行合同所必需的设备和专业技术能力的书面声明；</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.5参加政府采购活动前3年内在经营活动中没有重大违法记录的书面声明。</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1.6法律、行政法规规定的其他条件。</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1.8单位负责人为同一人或者存在直接控股、管理关系的不同供应商，不得参加同一合同项下的政府采购活动。</w:t>
      </w:r>
      <w:r>
        <w:rPr>
          <w:color w:val="000000" w:themeColor="text1"/>
          <w:highlight w:val="white"/>
        </w:rPr>
      </w:r>
      <w:r/>
    </w:p>
    <w:p>
      <w:pPr>
        <w:pStyle w:val="718"/>
        <w:ind w:firstLine="480"/>
        <w:jc w:val="both"/>
        <w:pageBreakBefore w:val="0"/>
        <w:spacing w:beforeAutospacing="0" w:afterAutospacing="0"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lang w:val="en-US" w:eastAsia="zh-CN"/>
        </w:rPr>
        <w:t xml:space="preserve">.</w:t>
      </w:r>
      <w:r>
        <w:rPr>
          <w:rFonts w:hint="eastAsia" w:ascii="宋体" w:hAnsi="宋体" w:eastAsia="宋体" w:cs="宋体"/>
          <w:color w:val="000000" w:themeColor="text1"/>
          <w:sz w:val="24"/>
          <w:szCs w:val="24"/>
          <w:highlight w:val="white"/>
        </w:rPr>
        <w:t xml:space="preserve">落实政府采购政策需满足的资格要求：</w:t>
      </w:r>
      <w:r>
        <w:rPr>
          <w:rFonts w:hint="eastAsia" w:ascii="宋体" w:hAnsi="宋体" w:eastAsia="宋体" w:cs="宋体"/>
          <w:color w:val="000000" w:themeColor="text1"/>
          <w:sz w:val="24"/>
          <w:szCs w:val="24"/>
          <w:highlight w:val="white"/>
          <w:u w:val="single"/>
          <w:lang w:val="en-US" w:eastAsia="zh-CN"/>
        </w:rPr>
        <w:t xml:space="preserve">无</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firstLine="48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本项目的特定资格要求</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firstLine="48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3.1投标供应商具有有效期内的《危险化学品经营许可证》（许可范围包含汽油、柴油）。</w:t>
      </w:r>
      <w:r>
        <w:rPr>
          <w:color w:val="000000" w:themeColor="text1"/>
          <w:highlight w:val="white"/>
        </w:rPr>
      </w:r>
      <w:r/>
    </w:p>
    <w:p>
      <w:pPr>
        <w:ind w:firstLine="48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3.2投标供应商具有有效期内的《成品油零售经营批准证书》；</w:t>
      </w:r>
      <w:r>
        <w:rPr>
          <w:color w:val="000000" w:themeColor="text1"/>
          <w:highlight w:val="white"/>
        </w:rPr>
      </w:r>
      <w:r/>
    </w:p>
    <w:p>
      <w:pPr>
        <w:ind w:firstLine="48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3.3投标人须具有合规汽油、柴油储存条件，提供以下任一材料：</w:t>
      </w:r>
      <w:r>
        <w:rPr>
          <w:color w:val="000000" w:themeColor="text1"/>
          <w:highlight w:val="white"/>
        </w:rPr>
      </w:r>
      <w:r/>
    </w:p>
    <w:p>
      <w:pPr>
        <w:ind w:firstLine="48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①自有油库的提供产权证明及油库符合危化品仓储规范的相关证明；②租赁油库的提供租赁协议+出租方油库符合危化品仓储规范的相关证明。</w:t>
      </w:r>
      <w:r>
        <w:rPr>
          <w:color w:val="000000" w:themeColor="text1"/>
          <w:highlight w:val="white"/>
        </w:rPr>
      </w:r>
      <w:r/>
    </w:p>
    <w:p>
      <w:pPr>
        <w:ind w:firstLine="480"/>
        <w:pageBreakBefore w:val="0"/>
        <w:spacing w:line="520" w:lineRule="exac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3.4如供应商自行负责运输，须具有有效的道路危险货物运输许可证或道路运输经营许可证（涵盖危险货物运输）；如供应商委托运输，须提供双方合作协议及运输方须具有有效的道路危险货物运输许可证或道路运输经营许可证（涵盖危险货物运输）。</w:t>
      </w:r>
      <w:r>
        <w:rPr>
          <w:color w:val="000000" w:themeColor="text1"/>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rPr>
        <w:outlineLvl w:val="0"/>
      </w:pPr>
      <w:r>
        <w:rPr>
          <w:color w:val="000000" w:themeColor="text1"/>
          <w:highlight w:val="white"/>
        </w:rPr>
      </w:r>
      <w:bookmarkStart w:id="17" w:name="_Toc18300"/>
      <w:r>
        <w:rPr>
          <w:color w:val="000000" w:themeColor="text1"/>
          <w:highlight w:val="white"/>
        </w:rPr>
      </w:r>
      <w:bookmarkStart w:id="18" w:name="_Toc13511"/>
      <w:r>
        <w:rPr>
          <w:rFonts w:hint="eastAsia" w:ascii="宋体" w:hAnsi="宋体" w:eastAsia="宋体" w:cs="宋体"/>
          <w:b/>
          <w:color w:val="000000" w:themeColor="text1"/>
          <w:sz w:val="24"/>
          <w:szCs w:val="24"/>
          <w:highlight w:val="white"/>
        </w:rPr>
        <w:t xml:space="preserve">三、获取</w:t>
      </w:r>
      <w:bookmarkEnd w:id="17"/>
      <w:r>
        <w:rPr>
          <w:rFonts w:hint="eastAsia" w:ascii="宋体" w:hAnsi="宋体" w:eastAsia="宋体" w:cs="宋体"/>
          <w:b/>
          <w:color w:val="000000" w:themeColor="text1"/>
          <w:sz w:val="24"/>
          <w:szCs w:val="24"/>
          <w:highlight w:val="white"/>
          <w:lang w:eastAsia="zh-CN"/>
        </w:rPr>
        <w:t xml:space="preserve">采购文件</w:t>
      </w:r>
      <w:bookmarkEnd w:id="18"/>
      <w:r>
        <w:rPr>
          <w:color w:val="000000" w:themeColor="text1"/>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rPr>
        <w:suppressLineNumbers w:val="0"/>
      </w:pPr>
      <w:r>
        <w:rPr>
          <w:color w:val="000000" w:themeColor="text1"/>
          <w:highlight w:val="white"/>
        </w:rPr>
      </w:r>
      <w:bookmarkStart w:id="19" w:name="_Toc35393624"/>
      <w:r>
        <w:rPr>
          <w:color w:val="000000" w:themeColor="text1"/>
          <w:highlight w:val="white"/>
        </w:rPr>
      </w:r>
      <w:bookmarkStart w:id="20" w:name="_Toc28359082"/>
      <w:r>
        <w:rPr>
          <w:color w:val="000000" w:themeColor="text1"/>
          <w:highlight w:val="white"/>
        </w:rPr>
      </w:r>
      <w:bookmarkStart w:id="21" w:name="_Toc28359005"/>
      <w:r>
        <w:rPr>
          <w:color w:val="000000" w:themeColor="text1"/>
          <w:highlight w:val="white"/>
        </w:rPr>
      </w:r>
      <w:bookmarkStart w:id="22" w:name="_Toc35393793"/>
      <w:r>
        <w:rPr>
          <w:color w:val="000000" w:themeColor="text1"/>
          <w:highlight w:val="white"/>
        </w:rPr>
      </w:r>
      <w:bookmarkStart w:id="23" w:name="_Toc38985266"/>
      <w:r>
        <w:rPr>
          <w:rFonts w:hint="eastAsia" w:ascii="宋体" w:hAnsi="宋体" w:eastAsia="宋体" w:cs="宋体"/>
          <w:color w:val="000000" w:themeColor="text1"/>
          <w:sz w:val="24"/>
          <w:szCs w:val="24"/>
          <w:highlight w:val="white"/>
        </w:rPr>
        <w:t xml:space="preserve">1.时间</w:t>
      </w:r>
      <w:r>
        <w:rPr>
          <w:rFonts w:hint="eastAsia" w:ascii="宋体" w:hAnsi="宋体" w:eastAsia="宋体" w:cs="宋体"/>
          <w:color w:val="000000" w:themeColor="text1"/>
          <w:sz w:val="24"/>
          <w:szCs w:val="24"/>
          <w:highlight w:val="white"/>
          <w:lang w:val="en-US" w:eastAsia="zh-CN" w:bidi="ar-SA"/>
        </w:rPr>
        <w:t xml:space="preserve">：</w:t>
      </w:r>
      <w:bookmarkEnd w:id="19"/>
      <w:r>
        <w:rPr>
          <w:color w:val="000000" w:themeColor="text1"/>
          <w:highlight w:val="white"/>
        </w:rPr>
      </w:r>
      <w:bookmarkEnd w:id="20"/>
      <w:r>
        <w:rPr>
          <w:color w:val="000000" w:themeColor="text1"/>
          <w:highlight w:val="white"/>
        </w:rPr>
      </w:r>
      <w:bookmarkEnd w:id="21"/>
      <w:r>
        <w:rPr>
          <w:color w:val="000000" w:themeColor="text1"/>
          <w:highlight w:val="white"/>
        </w:rPr>
      </w:r>
      <w:bookmarkEnd w:id="22"/>
      <w:r>
        <w:rPr>
          <w:color w:val="000000" w:themeColor="text1"/>
          <w:highlight w:val="white"/>
        </w:rPr>
      </w:r>
      <w:bookmarkEnd w:id="23"/>
      <w:r>
        <w:rPr>
          <w:rFonts w:hint="eastAsia" w:ascii="宋体" w:hAnsi="宋体" w:eastAsia="宋体" w:cs="宋体"/>
          <w:color w:val="000000" w:themeColor="text1"/>
          <w:sz w:val="24"/>
          <w:szCs w:val="24"/>
          <w:highlight w:val="white"/>
          <w:lang w:val="en-US" w:eastAsia="zh-CN" w:bidi="ar-SA"/>
        </w:rPr>
        <w:t xml:space="preserve">自采购文件公告发布之日起5个工作日。</w:t>
      </w:r>
      <w:r>
        <w:rPr>
          <w:color w:val="000000" w:themeColor="text1"/>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2.地点：“苏采云”系统内免费下载（投标供应商必须在苏采云系统中获取采购文件，方能参与政府采购项目）；</w:t>
      </w:r>
      <w:r>
        <w:rPr>
          <w:color w:val="000000" w:themeColor="text1"/>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3.方式：本项目采用网上注册登记方式。 </w:t>
      </w:r>
      <w:r>
        <w:rPr>
          <w:color w:val="000000" w:themeColor="text1"/>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4.售价：0元</w:t>
      </w:r>
      <w:r>
        <w:rPr>
          <w:color w:val="000000" w:themeColor="text1"/>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rPr>
        <w:outlineLvl w:val="0"/>
      </w:pPr>
      <w:r>
        <w:rPr>
          <w:color w:val="000000" w:themeColor="text1"/>
          <w:highlight w:val="white"/>
        </w:rPr>
      </w:r>
      <w:bookmarkStart w:id="24" w:name="_Toc8298"/>
      <w:r>
        <w:rPr>
          <w:color w:val="000000" w:themeColor="text1"/>
          <w:highlight w:val="white"/>
        </w:rPr>
      </w:r>
      <w:bookmarkStart w:id="25" w:name="_Toc10800"/>
      <w:r>
        <w:rPr>
          <w:rFonts w:hint="eastAsia" w:ascii="宋体" w:hAnsi="宋体" w:eastAsia="宋体" w:cs="宋体"/>
          <w:b/>
          <w:color w:val="000000" w:themeColor="text1"/>
          <w:sz w:val="24"/>
          <w:szCs w:val="24"/>
          <w:highlight w:val="white"/>
        </w:rPr>
        <w:t xml:space="preserve">四、提交投标文件截止时间、开标时间和地点</w:t>
      </w:r>
      <w:bookmarkEnd w:id="24"/>
      <w:r>
        <w:rPr>
          <w:color w:val="000000" w:themeColor="text1"/>
          <w:highlight w:val="white"/>
        </w:rPr>
      </w:r>
      <w:bookmarkEnd w:id="25"/>
      <w:r>
        <w:rPr>
          <w:color w:val="000000" w:themeColor="text1"/>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bidi="ar-SA"/>
        </w:rPr>
        <w:t xml:space="preserve">时间：</w:t>
      </w:r>
      <w:r>
        <w:rPr>
          <w:rFonts w:hint="eastAsia" w:ascii="宋体" w:hAnsi="宋体" w:eastAsia="宋体" w:cs="宋体"/>
          <w:color w:val="000000" w:themeColor="text1"/>
          <w:sz w:val="24"/>
          <w:szCs w:val="24"/>
          <w:highlight w:val="white"/>
          <w:u w:val="single"/>
          <w:lang w:val="en-US" w:eastAsia="zh-CN" w:bidi="ar-SA"/>
        </w:rPr>
        <w:t xml:space="preserve">2026年6月26日9点00分</w:t>
      </w:r>
      <w:r>
        <w:rPr>
          <w:rFonts w:hint="eastAsia" w:ascii="宋体" w:hAnsi="宋体" w:eastAsia="宋体" w:cs="宋体"/>
          <w:color w:val="000000" w:themeColor="text1"/>
          <w:sz w:val="24"/>
          <w:szCs w:val="24"/>
          <w:highlight w:val="white"/>
          <w:lang w:val="en-US" w:eastAsia="zh-CN" w:bidi="ar-SA"/>
        </w:rPr>
        <w:t xml:space="preserve">（北京时间）。</w:t>
      </w:r>
      <w:r>
        <w:rPr>
          <w:color w:val="000000" w:themeColor="text1"/>
          <w:highlight w:val="white"/>
        </w:rPr>
      </w:r>
      <w:r/>
    </w:p>
    <w:p>
      <w:pPr>
        <w:ind w:firstLine="480"/>
        <w:jc w:val="left"/>
        <w:keepLines w:val="0"/>
        <w:keepNext w:val="0"/>
        <w:pageBreakBefore w:val="0"/>
        <w:spacing w:line="520" w:lineRule="exact"/>
        <w:widowControl/>
        <w:rPr>
          <w:rFonts w:hint="eastAsia" w:ascii="宋体" w:hAnsi="宋体" w:eastAsia="宋体" w:cs="宋体"/>
          <w:color w:val="000000" w:themeColor="text1"/>
          <w:sz w:val="24"/>
          <w:szCs w:val="24"/>
          <w:highlight w:val="white"/>
        </w:rPr>
        <w:suppressLineNumbers w:val="0"/>
      </w:pPr>
      <w:r>
        <w:rPr>
          <w:rFonts w:hint="eastAsia" w:ascii="宋体" w:hAnsi="宋体" w:eastAsia="宋体" w:cs="宋体"/>
          <w:color w:val="000000" w:themeColor="text1"/>
          <w:sz w:val="24"/>
          <w:szCs w:val="24"/>
          <w:highlight w:val="white"/>
          <w:lang w:val="en-US" w:eastAsia="zh-CN" w:bidi="ar-SA"/>
        </w:rPr>
        <w:t xml:space="preserve">2.地点：苏采云“不见面”开标大厅 。</w:t>
      </w:r>
      <w:r>
        <w:rPr>
          <w:color w:val="000000" w:themeColor="text1"/>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rPr>
        <w:outlineLvl w:val="0"/>
      </w:pPr>
      <w:r>
        <w:rPr>
          <w:color w:val="000000" w:themeColor="text1"/>
          <w:highlight w:val="white"/>
        </w:rPr>
      </w:r>
      <w:bookmarkStart w:id="26" w:name="_Toc14000"/>
      <w:r>
        <w:rPr>
          <w:color w:val="000000" w:themeColor="text1"/>
          <w:highlight w:val="white"/>
        </w:rPr>
      </w:r>
      <w:bookmarkStart w:id="27" w:name="_Toc28359007"/>
      <w:r>
        <w:rPr>
          <w:color w:val="000000" w:themeColor="text1"/>
          <w:highlight w:val="white"/>
        </w:rPr>
      </w:r>
      <w:bookmarkStart w:id="28" w:name="_Toc35393794"/>
      <w:r>
        <w:rPr>
          <w:color w:val="000000" w:themeColor="text1"/>
          <w:highlight w:val="white"/>
        </w:rPr>
      </w:r>
      <w:bookmarkStart w:id="29" w:name="_Toc118"/>
      <w:r>
        <w:rPr>
          <w:color w:val="000000" w:themeColor="text1"/>
          <w:highlight w:val="white"/>
        </w:rPr>
      </w:r>
      <w:bookmarkStart w:id="30" w:name="_Toc28359084"/>
      <w:r>
        <w:rPr>
          <w:color w:val="000000" w:themeColor="text1"/>
          <w:highlight w:val="white"/>
        </w:rPr>
      </w:r>
      <w:bookmarkStart w:id="31" w:name="_Toc35393625"/>
      <w:r>
        <w:rPr>
          <w:color w:val="000000" w:themeColor="text1"/>
          <w:highlight w:val="white"/>
        </w:rPr>
      </w:r>
      <w:bookmarkStart w:id="32" w:name="_Toc38985267"/>
      <w:r>
        <w:rPr>
          <w:rFonts w:hint="eastAsia" w:ascii="宋体" w:hAnsi="宋体" w:eastAsia="宋体" w:cs="宋体"/>
          <w:b/>
          <w:color w:val="000000" w:themeColor="text1"/>
          <w:sz w:val="24"/>
          <w:szCs w:val="24"/>
          <w:highlight w:val="white"/>
        </w:rPr>
        <w:t xml:space="preserve">五、公告期限</w:t>
      </w:r>
      <w:bookmarkEnd w:id="26"/>
      <w:r>
        <w:rPr>
          <w:color w:val="000000" w:themeColor="text1"/>
          <w:highlight w:val="white"/>
        </w:rPr>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color w:val="000000" w:themeColor="text1"/>
          <w:highlight w:val="white"/>
        </w:rPr>
      </w:r>
      <w:bookmarkEnd w:id="32"/>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color w:val="000000" w:themeColor="text1"/>
          <w:highlight w:val="white"/>
        </w:rPr>
      </w:r>
      <w:bookmarkStart w:id="33" w:name="_Toc35393626"/>
      <w:r>
        <w:rPr>
          <w:color w:val="000000" w:themeColor="text1"/>
          <w:highlight w:val="white"/>
        </w:rPr>
      </w:r>
      <w:bookmarkStart w:id="34" w:name="_Toc38985268"/>
      <w:r>
        <w:rPr>
          <w:color w:val="000000" w:themeColor="text1"/>
          <w:highlight w:val="white"/>
        </w:rPr>
      </w:r>
      <w:bookmarkStart w:id="35" w:name="_Toc35393795"/>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自本公告发布之日起5个工作日。</w:t>
      </w:r>
      <w:bookmarkEnd w:id="33"/>
      <w:r>
        <w:rPr>
          <w:color w:val="000000" w:themeColor="text1"/>
          <w:highlight w:val="white"/>
        </w:rPr>
      </w:r>
      <w:bookmarkEnd w:id="34"/>
      <w:r>
        <w:rPr>
          <w:color w:val="000000" w:themeColor="text1"/>
          <w:highlight w:val="white"/>
        </w:rPr>
      </w:r>
      <w:bookmarkEnd w:id="35"/>
      <w:r>
        <w:rPr>
          <w:color w:val="000000" w:themeColor="text1"/>
          <w:highlight w:val="white"/>
        </w:rPr>
      </w:r>
      <w:r/>
    </w:p>
    <w:p>
      <w:pPr>
        <w:pStyle w:val="718"/>
        <w:ind w:firstLine="482"/>
        <w:jc w:val="both"/>
        <w:keepLines/>
        <w:keepNext/>
        <w:pageBreakBefore w:val="0"/>
        <w:spacing w:beforeAutospacing="0" w:afterAutospacing="0" w:line="520" w:lineRule="exact"/>
        <w:rPr>
          <w:rFonts w:hint="eastAsia" w:ascii="宋体" w:hAnsi="宋体" w:eastAsia="宋体" w:cs="宋体"/>
          <w:color w:val="000000" w:themeColor="text1"/>
          <w:sz w:val="24"/>
          <w:szCs w:val="24"/>
          <w:highlight w:val="white"/>
        </w:rPr>
        <w:outlineLvl w:val="0"/>
      </w:pPr>
      <w:r>
        <w:rPr>
          <w:color w:val="000000" w:themeColor="text1"/>
          <w:highlight w:val="white"/>
        </w:rPr>
      </w:r>
      <w:bookmarkStart w:id="36" w:name="_Toc1246"/>
      <w:r>
        <w:rPr>
          <w:color w:val="000000" w:themeColor="text1"/>
          <w:highlight w:val="white"/>
        </w:rPr>
      </w:r>
      <w:bookmarkStart w:id="37" w:name="_Toc7700"/>
      <w:r>
        <w:rPr>
          <w:rFonts w:hint="eastAsia" w:ascii="宋体" w:hAnsi="宋体" w:eastAsia="宋体" w:cs="宋体"/>
          <w:b/>
          <w:color w:val="000000" w:themeColor="text1"/>
          <w:sz w:val="24"/>
          <w:szCs w:val="24"/>
          <w:highlight w:val="white"/>
        </w:rPr>
        <w:t xml:space="preserve">六、其他补充事宜</w:t>
      </w:r>
      <w:bookmarkEnd w:id="36"/>
      <w:r>
        <w:rPr>
          <w:color w:val="000000" w:themeColor="text1"/>
          <w:highlight w:val="white"/>
        </w:rPr>
      </w:r>
      <w:bookmarkEnd w:id="37"/>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color w:val="000000" w:themeColor="text1"/>
          <w:highlight w:val="white"/>
        </w:rPr>
      </w:r>
      <w:bookmarkStart w:id="38" w:name="_Toc18492"/>
      <w:r>
        <w:rPr>
          <w:color w:val="000000" w:themeColor="text1"/>
          <w:highlight w:val="white"/>
        </w:rPr>
      </w:r>
      <w:bookmarkStart w:id="39" w:name="_Toc28359018"/>
      <w:r>
        <w:rPr>
          <w:color w:val="000000" w:themeColor="text1"/>
          <w:highlight w:val="white"/>
        </w:rPr>
      </w:r>
      <w:bookmarkStart w:id="40" w:name="_Toc29447"/>
      <w:r>
        <w:rPr>
          <w:color w:val="000000" w:themeColor="text1"/>
          <w:highlight w:val="white"/>
        </w:rPr>
      </w:r>
      <w:bookmarkStart w:id="41" w:name="_Toc9219"/>
      <w:r>
        <w:rPr>
          <w:color w:val="000000" w:themeColor="text1"/>
          <w:highlight w:val="white"/>
        </w:rPr>
      </w:r>
      <w:bookmarkStart w:id="42" w:name="_Toc26171"/>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2.潜在供应商访问电子招标响应交易平台的网络地址和方法： </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2.2 潜在投标人访问“苏采云”系统方法：江苏省政府采购网首页-“苏采云”链接。 </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2.3 采购文件（后缀名为“.kedt”）、供应商操作手册及政府采购客户端 工具可通过“苏采云”系统相应链接进行下载。 </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2.4 采购代理机构将数据电文形式的采购文件加载至“苏采云”系统，供潜在供应商下载或者查阅。 </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2.5 请潜在投标单位提前安装相应的控件（详见《“苏采云”系统供应商操作手册》）并使用谷歌浏览器登录“苏采云”系统参与不见面开评标。 </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如潜在投标人未按上述要求操作，将自行承担所产生的风险。</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3.有关本次招标的事项若存在变动或修改，敬请及时关注</w:t>
      </w:r>
      <w:r>
        <w:rPr>
          <w:rFonts w:hint="eastAsia" w:cs="宋体"/>
          <w:b w:val="0"/>
          <w:bCs w:val="0"/>
          <w:i w:val="0"/>
          <w:iCs w:val="0"/>
          <w:caps w:val="0"/>
          <w:color w:val="000000" w:themeColor="text1"/>
          <w:spacing w:val="0"/>
          <w:sz w:val="24"/>
          <w:szCs w:val="24"/>
          <w:highlight w:val="white"/>
          <w:shd w:val="clear" w:color="auto" w:fill="ffffff"/>
          <w:lang w:val="en-US" w:eastAsia="zh-CN"/>
        </w:rPr>
        <w:t xml:space="preserve">滨海县政府采购中心</w:t>
      </w: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在“中国政府采购网”“江苏政府采购网”“盐城市政府采购网”发布的更正公告。</w:t>
      </w:r>
      <w:r>
        <w:rPr>
          <w:color w:val="000000" w:themeColor="text1"/>
          <w:highlight w:val="white"/>
        </w:rPr>
      </w:r>
      <w:r/>
    </w:p>
    <w:p>
      <w:pPr>
        <w:pStyle w:val="687"/>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val="0"/>
          <w:bCs w:val="0"/>
          <w:i w:val="0"/>
          <w:iCs w:val="0"/>
          <w:caps w:val="0"/>
          <w:color w:val="000000" w:themeColor="text1"/>
          <w:spacing w:val="0"/>
          <w:sz w:val="24"/>
          <w:szCs w:val="24"/>
          <w:highlight w:val="white"/>
          <w:shd w:val="clear" w:color="auto" w:fill="ffffff"/>
          <w:lang w:val="en-US" w:eastAsia="zh-CN"/>
        </w:rPr>
        <w:t xml:space="preserve">4.本次招标不收取投标保证金，不收取质量保证金。</w:t>
      </w:r>
      <w:r>
        <w:rPr>
          <w:color w:val="000000" w:themeColor="text1"/>
          <w:highlight w:val="white"/>
        </w:rPr>
      </w:r>
      <w:r/>
    </w:p>
    <w:p>
      <w:pPr>
        <w:pStyle w:val="687"/>
        <w:ind w:left="0" w:right="0" w:firstLine="482"/>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bCs/>
          <w:i w:val="0"/>
          <w:iCs w:val="0"/>
          <w:caps w:val="0"/>
          <w:color w:val="000000" w:themeColor="text1"/>
          <w:spacing w:val="0"/>
          <w:sz w:val="24"/>
          <w:szCs w:val="24"/>
          <w:highlight w:val="white"/>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i w:val="0"/>
          <w:iCs w:val="0"/>
          <w:caps w:val="0"/>
          <w:color w:val="000000" w:themeColor="text1"/>
          <w:spacing w:val="0"/>
          <w:sz w:val="24"/>
          <w:szCs w:val="24"/>
          <w:highlight w:val="white"/>
          <w:u w:val="none"/>
          <w:shd w:val="clear" w:color="auto" w:fill="ffffff"/>
          <w:lang w:val="en-US" w:eastAsia="zh-CN"/>
        </w:rPr>
        <w:t xml:space="preserve">七</w:t>
      </w:r>
      <w:r>
        <w:rPr>
          <w:rFonts w:hint="eastAsia" w:ascii="宋体" w:hAnsi="宋体" w:eastAsia="宋体" w:cs="宋体"/>
          <w:b/>
          <w:bCs/>
          <w:i w:val="0"/>
          <w:iCs w:val="0"/>
          <w:caps w:val="0"/>
          <w:color w:val="000000" w:themeColor="text1"/>
          <w:spacing w:val="0"/>
          <w:sz w:val="24"/>
          <w:szCs w:val="24"/>
          <w:highlight w:val="white"/>
          <w:u w:val="none"/>
          <w:shd w:val="clear" w:color="auto" w:fill="ffffff"/>
        </w:rPr>
        <w:t xml:space="preserve">、对本次</w:t>
      </w:r>
      <w:r>
        <w:rPr>
          <w:rFonts w:hint="eastAsia" w:ascii="宋体" w:hAnsi="宋体" w:eastAsia="宋体" w:cs="宋体"/>
          <w:b/>
          <w:bCs/>
          <w:i w:val="0"/>
          <w:iCs w:val="0"/>
          <w:caps w:val="0"/>
          <w:color w:val="000000" w:themeColor="text1"/>
          <w:spacing w:val="0"/>
          <w:sz w:val="24"/>
          <w:szCs w:val="24"/>
          <w:highlight w:val="white"/>
          <w:u w:val="none"/>
          <w:shd w:val="clear" w:color="auto" w:fill="ffffff"/>
          <w:lang w:val="en-US" w:eastAsia="zh-CN"/>
        </w:rPr>
        <w:t xml:space="preserve">招标</w:t>
      </w:r>
      <w:r>
        <w:rPr>
          <w:rFonts w:hint="eastAsia" w:ascii="宋体" w:hAnsi="宋体" w:eastAsia="宋体" w:cs="宋体"/>
          <w:b/>
          <w:bCs/>
          <w:i w:val="0"/>
          <w:iCs w:val="0"/>
          <w:caps w:val="0"/>
          <w:color w:val="000000" w:themeColor="text1"/>
          <w:spacing w:val="0"/>
          <w:sz w:val="24"/>
          <w:szCs w:val="24"/>
          <w:highlight w:val="white"/>
          <w:u w:val="none"/>
          <w:shd w:val="clear" w:color="auto" w:fill="ffffff"/>
        </w:rPr>
        <w:t xml:space="preserve">提出询问，请按以下方式联系。</w:t>
      </w:r>
      <w:bookmarkEnd w:id="38"/>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outlineLvl w:val="1"/>
        <w:suppressLineNumbers w:val="0"/>
      </w:pPr>
      <w:r>
        <w:rPr>
          <w:color w:val="000000" w:themeColor="text1"/>
          <w:highlight w:val="white"/>
        </w:rPr>
      </w:r>
      <w:bookmarkStart w:id="43" w:name="_Toc29745"/>
      <w:r>
        <w:rPr>
          <w:color w:val="000000" w:themeColor="text1"/>
          <w:highlight w:val="white"/>
        </w:rPr>
      </w:r>
      <w:bookmarkStart w:id="44" w:name="_Toc28359009"/>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1.采购人信息</w:t>
      </w:r>
      <w:bookmarkEnd w:id="43"/>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名 称：</w:t>
      </w:r>
      <w:r>
        <w:rPr>
          <w:rFonts w:hint="eastAsia" w:ascii="宋体" w:hAnsi="宋体" w:eastAsia="宋体" w:cs="宋体"/>
          <w:color w:val="000000" w:themeColor="text1"/>
          <w:sz w:val="24"/>
          <w:szCs w:val="24"/>
          <w:highlight w:val="white"/>
          <w:u w:val="none"/>
          <w:lang w:eastAsia="zh-CN"/>
        </w:rPr>
        <w:t xml:space="preserve">滨海县农业综合行政执法大队</w:t>
      </w: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 </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地址：</w:t>
      </w:r>
      <w:r>
        <w:rPr>
          <w:rFonts w:hint="eastAsia" w:ascii="宋体" w:hAnsi="宋体" w:eastAsia="宋体" w:cs="宋体"/>
          <w:color w:val="000000" w:themeColor="text1"/>
          <w:sz w:val="24"/>
          <w:szCs w:val="24"/>
          <w:highlight w:val="white"/>
          <w:u w:val="none"/>
          <w:lang w:eastAsia="zh-CN"/>
        </w:rPr>
        <w:t xml:space="preserve">江苏省盐城市滨海县港城路419号水务大厦二楼</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联系人：</w:t>
      </w:r>
      <w:r>
        <w:rPr>
          <w:rFonts w:hint="eastAsia" w:ascii="宋体" w:hAnsi="宋体" w:eastAsia="宋体" w:cs="宋体"/>
          <w:color w:val="000000" w:themeColor="text1"/>
          <w:sz w:val="24"/>
          <w:szCs w:val="24"/>
          <w:highlight w:val="white"/>
          <w:u w:val="none"/>
          <w:lang w:val="en-US" w:eastAsia="zh-CN"/>
        </w:rPr>
        <w:t xml:space="preserve">龚先生</w:t>
      </w: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     </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联系方式：</w:t>
      </w:r>
      <w:r>
        <w:rPr>
          <w:rFonts w:hint="eastAsia" w:ascii="宋体" w:hAnsi="宋体" w:eastAsia="宋体" w:cs="宋体"/>
          <w:color w:val="000000" w:themeColor="text1"/>
          <w:sz w:val="24"/>
          <w:szCs w:val="24"/>
          <w:highlight w:val="white"/>
          <w:u w:val="none"/>
          <w:lang w:val="en-US" w:eastAsia="zh-CN"/>
        </w:rPr>
        <w:t xml:space="preserve">13851112208</w:t>
      </w: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     </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outlineLvl w:val="1"/>
        <w:suppressLineNumbers w:val="0"/>
      </w:pPr>
      <w:r>
        <w:rPr>
          <w:color w:val="000000" w:themeColor="text1"/>
          <w:highlight w:val="white"/>
        </w:rPr>
      </w:r>
      <w:bookmarkStart w:id="45" w:name="_Toc1183"/>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2.采购代理机构信息</w:t>
      </w:r>
      <w:bookmarkEnd w:id="45"/>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名 称：滨海县公共资源交易中心（滨海县政府采购中心）</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地 址：滨海县育才路166号滨海县政务服务中心三楼</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u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联系人：</w:t>
      </w:r>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徐先生</w:t>
      </w:r>
      <w:r>
        <w:rPr>
          <w:rFonts w:hint="eastAsia" w:ascii="宋体" w:hAnsi="宋体" w:eastAsia="宋体" w:cs="宋体"/>
          <w:i w:val="0"/>
          <w:iCs w:val="0"/>
          <w:caps w:val="0"/>
          <w:color w:val="000000" w:themeColor="text1"/>
          <w:spacing w:val="0"/>
          <w:sz w:val="24"/>
          <w:szCs w:val="24"/>
          <w:highlight w:val="white"/>
          <w:u w:val="none"/>
          <w:shd w:val="clear" w:color="auto" w:fill="ffffff"/>
          <w:lang w:val="en-US" w:eastAsia="zh-CN"/>
        </w:rPr>
        <w:t xml:space="preserve">                  </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联系方式：15851110809</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outlineLvl w:val="1"/>
        <w:suppressLineNumbers w:val="0"/>
      </w:pPr>
      <w:r>
        <w:rPr>
          <w:color w:val="000000" w:themeColor="text1"/>
          <w:highlight w:val="white"/>
        </w:rPr>
      </w:r>
      <w:bookmarkStart w:id="46" w:name="_Toc28359021"/>
      <w:r>
        <w:rPr>
          <w:color w:val="000000" w:themeColor="text1"/>
          <w:highlight w:val="white"/>
        </w:rPr>
      </w:r>
      <w:bookmarkStart w:id="47" w:name="_Toc22980"/>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3.</w:t>
      </w:r>
      <w:bookmarkEnd w:id="46"/>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项目联系方式</w:t>
      </w:r>
      <w:bookmarkEnd w:id="47"/>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项目联系人：徐先生</w:t>
      </w:r>
      <w:r>
        <w:rPr>
          <w:color w:val="000000" w:themeColor="text1"/>
          <w:highlight w:val="white"/>
        </w:rPr>
      </w:r>
      <w:r/>
    </w:p>
    <w:p>
      <w:pPr>
        <w:pStyle w:val="718"/>
        <w:ind w:left="0" w:right="0" w:firstLine="480"/>
        <w:jc w:val="both"/>
        <w:keepLines w:val="0"/>
        <w:keepNext w:val="0"/>
        <w:pageBreakBefore w:val="0"/>
        <w:spacing w:beforeAutospacing="0" w:afterAutospacing="0" w:line="520" w:lineRule="exact"/>
        <w:shd w:val="clear" w:color="auto" w:fill="ffffff"/>
        <w:widowControl/>
        <w:rPr>
          <w:rFonts w:hint="eastAsia" w:ascii="宋体" w:hAnsi="宋体" w:eastAsia="宋体" w:cs="宋体"/>
          <w:i w:val="0"/>
          <w:iCs w:val="0"/>
          <w:caps w:val="0"/>
          <w:color w:val="000000" w:themeColor="text1"/>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white"/>
          <w:shd w:val="clear" w:color="auto" w:fill="ffffff"/>
          <w:lang w:val="en-US" w:eastAsia="zh-CN"/>
        </w:rPr>
        <w:t xml:space="preserve">电　　 话：15851110809 　　　　　　　　　　　</w:t>
      </w:r>
      <w:r>
        <w:rPr>
          <w:color w:val="000000" w:themeColor="text1"/>
          <w:highlight w:val="white"/>
        </w:rPr>
      </w:r>
      <w:r/>
    </w:p>
    <w:p>
      <w:pPr>
        <w:rPr>
          <w:rFonts w:hint="eastAsia" w:ascii="方正小标宋简体" w:hAnsi="方正小标宋简体" w:eastAsia="方正小标宋简体" w:cs="方正小标宋简体"/>
          <w:b w:val="0"/>
          <w:bCs w:val="0"/>
          <w:color w:val="auto"/>
          <w:sz w:val="44"/>
          <w:szCs w:val="44"/>
          <w:highlight w:val="none"/>
        </w:rPr>
      </w:pPr>
      <w:r>
        <w:rPr>
          <w:color w:val="000000" w:themeColor="text1"/>
          <w:highlight w:val="white"/>
        </w:rPr>
      </w:r>
      <w:bookmarkStart w:id="48" w:name="_Toc120614211"/>
      <w:r>
        <w:rPr>
          <w:color w:val="000000" w:themeColor="text1"/>
          <w:highlight w:val="white"/>
        </w:rPr>
      </w:r>
      <w:bookmarkStart w:id="49" w:name="_Toc19134"/>
      <w:r>
        <w:rPr>
          <w:color w:val="000000" w:themeColor="text1"/>
          <w:highlight w:val="white"/>
        </w:rPr>
      </w:r>
      <w:bookmarkStart w:id="50" w:name="_Toc16503"/>
      <w:r>
        <w:rPr>
          <w:rFonts w:hint="eastAsia" w:ascii="方正小标宋简体" w:hAnsi="方正小标宋简体" w:eastAsia="方正小标宋简体" w:cs="方正小标宋简体"/>
          <w:b w:val="0"/>
          <w:bCs w:val="0"/>
          <w:color w:val="000000" w:themeColor="text1"/>
          <w:sz w:val="44"/>
          <w:szCs w:val="44"/>
          <w:highlight w:val="white"/>
        </w:rPr>
        <w:br w:type="page" w:clear="all"/>
      </w:r>
      <w:r/>
    </w:p>
    <w:p>
      <w:pPr>
        <w:ind w:firstLine="880"/>
        <w:jc w:val="center"/>
        <w:pageBreakBefore w:val="0"/>
        <w:spacing w:line="520" w:lineRule="exact"/>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t xml:space="preserve">第二章  </w:t>
      </w:r>
      <w:bookmarkEnd w:id="48"/>
      <w:r/>
      <w:bookmarkStart w:id="51" w:name="_Toc20823274"/>
      <w:r/>
      <w:bookmarkStart w:id="52" w:name="_Toc513029202"/>
      <w:r/>
      <w:bookmarkStart w:id="53" w:name="_Toc120614213"/>
      <w:r/>
      <w:bookmarkStart w:id="54" w:name="_Toc16938518"/>
      <w:r>
        <w:rPr>
          <w:rFonts w:hint="eastAsia" w:ascii="方正小标宋简体" w:hAnsi="方正小标宋简体" w:eastAsia="方正小标宋简体" w:cs="方正小标宋简体"/>
          <w:b w:val="0"/>
          <w:bCs w:val="0"/>
          <w:color w:val="auto"/>
          <w:sz w:val="44"/>
          <w:szCs w:val="44"/>
          <w:highlight w:val="none"/>
          <w:lang w:eastAsia="zh-CN"/>
        </w:rPr>
        <w:t xml:space="preserve">投标供应商</w:t>
      </w:r>
      <w:r>
        <w:rPr>
          <w:rFonts w:hint="eastAsia" w:ascii="方正小标宋简体" w:hAnsi="方正小标宋简体" w:eastAsia="方正小标宋简体" w:cs="方正小标宋简体"/>
          <w:b w:val="0"/>
          <w:bCs w:val="0"/>
          <w:color w:val="auto"/>
          <w:sz w:val="44"/>
          <w:szCs w:val="44"/>
          <w:highlight w:val="none"/>
        </w:rPr>
        <w:t xml:space="preserve">须知</w:t>
      </w:r>
      <w:bookmarkEnd w:id="49"/>
      <w:r/>
      <w:bookmarkEnd w:id="50"/>
      <w:r/>
      <w:bookmarkEnd w:id="51"/>
      <w:r/>
      <w:bookmarkEnd w:id="52"/>
      <w:r/>
      <w:bookmarkEnd w:id="53"/>
      <w:r/>
      <w:bookmarkEnd w:id="54"/>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55" w:name="_Toc513029203"/>
      <w:r/>
      <w:bookmarkStart w:id="56" w:name="_Toc120614214"/>
      <w:r/>
      <w:bookmarkStart w:id="57" w:name="_Toc16938519"/>
      <w:r/>
      <w:bookmarkStart w:id="58" w:name="_Toc20823275"/>
      <w:r>
        <w:rPr>
          <w:rFonts w:hint="eastAsia" w:ascii="宋体" w:hAnsi="宋体" w:eastAsia="宋体" w:cs="宋体"/>
          <w:b/>
          <w:color w:val="000000"/>
          <w:sz w:val="24"/>
          <w:szCs w:val="24"/>
          <w:highlight w:val="none"/>
        </w:rPr>
        <w:t xml:space="preserve">一、总则</w:t>
      </w:r>
      <w:bookmarkEnd w:id="55"/>
      <w:r/>
      <w:bookmarkEnd w:id="56"/>
      <w:r/>
      <w:bookmarkEnd w:id="57"/>
      <w:r/>
      <w:bookmarkEnd w:id="58"/>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59" w:name="_Toc20823276"/>
      <w:r/>
      <w:bookmarkStart w:id="60" w:name="_Toc16938520"/>
      <w:r/>
      <w:bookmarkStart w:id="61" w:name="_Toc458694821"/>
      <w:r/>
      <w:bookmarkStart w:id="62" w:name="_Toc513029204"/>
      <w:r>
        <w:rPr>
          <w:rFonts w:hint="eastAsia" w:ascii="宋体" w:hAnsi="宋体" w:eastAsia="宋体" w:cs="宋体"/>
          <w:color w:val="000000"/>
          <w:sz w:val="24"/>
          <w:szCs w:val="24"/>
          <w:highlight w:val="none"/>
        </w:rPr>
        <w:t xml:space="preserve">1</w:t>
      </w:r>
      <w:bookmarkEnd w:id="59"/>
      <w:r>
        <w:rPr>
          <w:rFonts w:hint="eastAsia" w:ascii="宋体" w:hAnsi="宋体" w:eastAsia="宋体" w:cs="宋体"/>
          <w:color w:val="000000"/>
          <w:sz w:val="24"/>
          <w:szCs w:val="24"/>
          <w:highlight w:val="none"/>
        </w:rPr>
        <w:t xml:space="preserve">、招标方式</w:t>
      </w:r>
      <w:bookmarkEnd w:id="60"/>
      <w:r/>
      <w:bookmarkEnd w:id="61"/>
      <w:r/>
      <w:bookmarkEnd w:id="62"/>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63" w:name="_Toc513029205"/>
      <w:r/>
      <w:bookmarkStart w:id="64" w:name="_Toc16938521"/>
      <w:r/>
      <w:bookmarkStart w:id="65" w:name="_Toc20823277"/>
      <w:r>
        <w:rPr>
          <w:rFonts w:hint="eastAsia" w:ascii="宋体" w:hAnsi="宋体" w:eastAsia="宋体" w:cs="宋体"/>
          <w:color w:val="000000"/>
          <w:sz w:val="24"/>
          <w:szCs w:val="24"/>
          <w:highlight w:val="none"/>
        </w:rPr>
        <w:t xml:space="preserve">2、合格的投标人</w:t>
      </w:r>
      <w:bookmarkEnd w:id="63"/>
      <w:r/>
      <w:bookmarkEnd w:id="64"/>
      <w:r/>
      <w:bookmarkEnd w:id="65"/>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left="0" w:firstLine="480"/>
        <w:pageBreakBefore w:val="0"/>
        <w:spacing w:line="520" w:lineRule="exact"/>
        <w:widowControl w:val="off"/>
        <w:rPr>
          <w:rFonts w:hint="eastAsia" w:ascii="宋体" w:hAnsi="宋体" w:eastAsia="宋体" w:cs="宋体"/>
          <w:color w:val="auto"/>
          <w:sz w:val="24"/>
          <w:szCs w:val="21"/>
        </w:rPr>
      </w:pPr>
      <w:r/>
      <w:bookmarkStart w:id="66" w:name="_Toc513029206"/>
      <w:r/>
      <w:bookmarkStart w:id="67" w:name="_Toc16938522"/>
      <w:r/>
      <w:bookmarkStart w:id="68" w:name="_Toc20823278"/>
      <w:r>
        <w:rPr>
          <w:rFonts w:hint="eastAsia" w:ascii="宋体" w:hAnsi="宋体" w:eastAsia="宋体" w:cs="宋体"/>
          <w:color w:val="auto"/>
          <w:sz w:val="24"/>
          <w:szCs w:val="21"/>
        </w:rPr>
        <w:t xml:space="preserve">3、适用法律</w:t>
      </w:r>
      <w:bookmarkEnd w:id="66"/>
      <w:r/>
      <w:bookmarkEnd w:id="67"/>
      <w:r/>
      <w:bookmarkEnd w:id="68"/>
      <w:r>
        <w:rPr>
          <w:rFonts w:hint="eastAsia" w:ascii="宋体" w:hAnsi="宋体" w:eastAsia="宋体" w:cs="宋体"/>
          <w:color w:val="auto"/>
          <w:sz w:val="24"/>
          <w:szCs w:val="21"/>
        </w:rPr>
        <w:t xml:space="preserve">和标准</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3.2在本项目政府采购活动过程中，如果所执行的标准有更新的，按照最新标准执行。</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69" w:name="_Toc20823279"/>
      <w:r/>
      <w:bookmarkStart w:id="70" w:name="_Toc462564067"/>
      <w:r/>
      <w:bookmarkStart w:id="71" w:name="_Toc513029207"/>
      <w:r/>
      <w:bookmarkStart w:id="72" w:name="_Toc16938523"/>
      <w:r>
        <w:rPr>
          <w:rFonts w:hint="eastAsia" w:ascii="宋体" w:hAnsi="宋体" w:eastAsia="宋体" w:cs="宋体"/>
          <w:color w:val="000000"/>
          <w:sz w:val="24"/>
          <w:szCs w:val="24"/>
          <w:highlight w:val="none"/>
        </w:rPr>
        <w:t xml:space="preserve">4、投标费用</w:t>
      </w:r>
      <w:bookmarkEnd w:id="69"/>
      <w:r/>
      <w:bookmarkEnd w:id="70"/>
      <w:r/>
      <w:bookmarkEnd w:id="71"/>
      <w:r/>
      <w:bookmarkEnd w:id="72"/>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滨海县政府采购中心</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4.2本次招标采购中心和采购人不收取标书工本费与中标服务费。</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73" w:name="_Toc16938525"/>
      <w:r/>
      <w:bookmarkStart w:id="74" w:name="_Toc20823281"/>
      <w:r/>
      <w:bookmarkStart w:id="75" w:name="_Toc513029209"/>
      <w:r/>
      <w:bookmarkStart w:id="76" w:name="_Toc120614215"/>
      <w:r>
        <w:rPr>
          <w:rFonts w:hint="eastAsia" w:ascii="宋体" w:hAnsi="宋体" w:eastAsia="宋体" w:cs="宋体"/>
          <w:b/>
          <w:color w:val="000000"/>
          <w:sz w:val="24"/>
          <w:szCs w:val="24"/>
          <w:highlight w:val="none"/>
        </w:rPr>
        <w:t xml:space="preserve">二、招标文件</w:t>
      </w:r>
      <w:bookmarkEnd w:id="73"/>
      <w:r/>
      <w:bookmarkEnd w:id="74"/>
      <w:r/>
      <w:bookmarkEnd w:id="75"/>
      <w:r/>
      <w:bookmarkEnd w:id="76"/>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77" w:name="_Toc20823282"/>
      <w:r/>
      <w:bookmarkStart w:id="78" w:name="_Toc16938526"/>
      <w:r/>
      <w:bookmarkStart w:id="79" w:name="_Toc513029210"/>
      <w:r>
        <w:rPr>
          <w:rFonts w:hint="eastAsia" w:ascii="宋体" w:hAnsi="宋体" w:eastAsia="宋体" w:cs="宋体"/>
          <w:color w:val="000000"/>
          <w:sz w:val="24"/>
          <w:szCs w:val="24"/>
          <w:highlight w:val="none"/>
        </w:rPr>
        <w:t xml:space="preserve">6、招标文件构成</w:t>
      </w:r>
      <w:bookmarkEnd w:id="77"/>
      <w:r/>
      <w:bookmarkEnd w:id="78"/>
      <w:r/>
      <w:bookmarkEnd w:id="79"/>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6.1招标文件由以下部分组成：</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80" w:name="_Toc20823283"/>
      <w:r/>
      <w:bookmarkStart w:id="81" w:name="_Toc16938527"/>
      <w:r/>
      <w:bookmarkStart w:id="82" w:name="_Toc513029211"/>
      <w:r/>
      <w:bookmarkStart w:id="83" w:name="_Toc462564070"/>
      <w:r>
        <w:rPr>
          <w:rFonts w:hint="eastAsia" w:ascii="宋体" w:hAnsi="宋体" w:eastAsia="宋体" w:cs="宋体"/>
          <w:color w:val="000000"/>
          <w:sz w:val="24"/>
          <w:szCs w:val="24"/>
          <w:highlight w:val="none"/>
        </w:rPr>
        <w:t xml:space="preserve">7、招标文件的澄清</w:t>
      </w:r>
      <w:bookmarkEnd w:id="80"/>
      <w:r/>
      <w:bookmarkEnd w:id="81"/>
      <w:r/>
      <w:bookmarkEnd w:id="82"/>
      <w:r/>
      <w:bookmarkEnd w:id="83"/>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84" w:name="_Toc513029212"/>
      <w:r/>
      <w:bookmarkStart w:id="85" w:name="_Toc20823284"/>
      <w:r/>
      <w:bookmarkStart w:id="86" w:name="_Toc16938528"/>
      <w:r/>
      <w:bookmarkStart w:id="87" w:name="_Toc462564071"/>
      <w:r>
        <w:rPr>
          <w:rFonts w:hint="eastAsia" w:ascii="宋体" w:hAnsi="宋体" w:eastAsia="宋体" w:cs="宋体"/>
          <w:color w:val="000000"/>
          <w:sz w:val="24"/>
          <w:szCs w:val="24"/>
          <w:highlight w:val="none"/>
        </w:rPr>
        <w:t xml:space="preserve">8、招标文件的修改</w:t>
      </w:r>
      <w:bookmarkEnd w:id="84"/>
      <w:r/>
      <w:bookmarkEnd w:id="85"/>
      <w:r/>
      <w:bookmarkEnd w:id="86"/>
      <w:r/>
      <w:bookmarkEnd w:id="87"/>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8.1在投标截止时间前，采购中心可以对招标文件进行修改。</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8.2采购中心有权按照法定的要求推迟投标截止日期和开标日期。</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88" w:name="_Toc16938529"/>
      <w:r/>
      <w:bookmarkStart w:id="89" w:name="_Toc20823285"/>
      <w:r/>
      <w:bookmarkStart w:id="90" w:name="_Toc513029213"/>
      <w:r/>
      <w:bookmarkStart w:id="91" w:name="_Toc462564072"/>
      <w:r/>
      <w:bookmarkStart w:id="92" w:name="_Toc120614216"/>
      <w:r>
        <w:rPr>
          <w:rFonts w:hint="eastAsia" w:ascii="宋体" w:hAnsi="宋体" w:eastAsia="宋体" w:cs="宋体"/>
          <w:b/>
          <w:color w:val="000000"/>
          <w:sz w:val="24"/>
          <w:szCs w:val="24"/>
          <w:highlight w:val="none"/>
        </w:rPr>
        <w:t xml:space="preserve">三、投标文件的编制</w:t>
      </w:r>
      <w:bookmarkEnd w:id="88"/>
      <w:r/>
      <w:bookmarkEnd w:id="89"/>
      <w:r/>
      <w:bookmarkEnd w:id="90"/>
      <w:r/>
      <w:bookmarkEnd w:id="91"/>
      <w:r/>
      <w:bookmarkEnd w:id="92"/>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93" w:name="_Toc513029214"/>
      <w:r/>
      <w:bookmarkStart w:id="94" w:name="_Toc20823286"/>
      <w:r/>
      <w:bookmarkStart w:id="95" w:name="_Toc462564073"/>
      <w:r/>
      <w:bookmarkStart w:id="96" w:name="_Toc16938530"/>
      <w:r>
        <w:rPr>
          <w:rFonts w:hint="eastAsia" w:ascii="宋体" w:hAnsi="宋体" w:eastAsia="宋体" w:cs="宋体"/>
          <w:color w:val="000000"/>
          <w:sz w:val="24"/>
          <w:szCs w:val="24"/>
          <w:highlight w:val="none"/>
        </w:rPr>
        <w:t xml:space="preserve">9、投标文件的语言及度量衡单位</w:t>
      </w:r>
      <w:bookmarkEnd w:id="93"/>
      <w:r/>
      <w:bookmarkEnd w:id="94"/>
      <w:r/>
      <w:bookmarkEnd w:id="95"/>
      <w:r/>
      <w:bookmarkEnd w:id="96"/>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97" w:name="_Toc513029215"/>
      <w:r/>
      <w:bookmarkStart w:id="98" w:name="_Toc16938531"/>
      <w:r/>
      <w:bookmarkStart w:id="99" w:name="_Toc20823287"/>
      <w:r/>
      <w:bookmarkStart w:id="100" w:name="_Toc462564074"/>
      <w:r>
        <w:rPr>
          <w:rFonts w:hint="eastAsia" w:ascii="宋体" w:hAnsi="宋体" w:eastAsia="宋体" w:cs="宋体"/>
          <w:color w:val="000000"/>
          <w:sz w:val="24"/>
          <w:szCs w:val="24"/>
          <w:highlight w:val="none"/>
        </w:rPr>
        <w:t xml:space="preserve">10、投标文件构成</w:t>
      </w:r>
      <w:bookmarkEnd w:id="97"/>
      <w:r/>
      <w:bookmarkEnd w:id="98"/>
      <w:r/>
      <w:bookmarkEnd w:id="99"/>
      <w:r/>
      <w:bookmarkEnd w:id="100"/>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01" w:name="_Toc14577355"/>
      <w:r/>
      <w:bookmarkStart w:id="102" w:name="_Toc49090509"/>
      <w:r/>
      <w:bookmarkStart w:id="103" w:name="_Toc513029216"/>
      <w:r/>
      <w:bookmarkStart w:id="104" w:name="_Toc513029219"/>
      <w:r/>
      <w:bookmarkStart w:id="105" w:name="_Toc49090508"/>
      <w:r/>
      <w:bookmarkStart w:id="106" w:name="_Toc14577357"/>
      <w:r/>
      <w:bookmarkStart w:id="107" w:name="_Toc49090507"/>
      <w:r/>
      <w:bookmarkStart w:id="108" w:name="_Toc14577354"/>
      <w:r>
        <w:rPr>
          <w:rFonts w:hint="eastAsia" w:ascii="宋体" w:hAnsi="宋体" w:eastAsia="宋体" w:cs="宋体"/>
          <w:color w:val="000000"/>
          <w:sz w:val="24"/>
          <w:szCs w:val="24"/>
          <w:highlight w:val="none"/>
        </w:rPr>
        <w:t xml:space="preserve">11、证明投标人及投标标的符合招标文件规定的文件</w:t>
      </w:r>
      <w:bookmarkEnd w:id="101"/>
      <w:r/>
      <w:bookmarkEnd w:id="102"/>
      <w:r/>
      <w:bookmarkEnd w:id="103"/>
      <w:r/>
      <w:bookmarkEnd w:id="104"/>
      <w:r/>
      <w:bookmarkEnd w:id="105"/>
      <w:r/>
      <w:bookmarkEnd w:id="106"/>
      <w:r/>
      <w:bookmarkEnd w:id="107"/>
      <w:r/>
      <w:bookmarkEnd w:id="108"/>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11.1投标人应按照招标文件要求提交证明文件，证明其及投标标的符合招标文件规定。</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14.2投标人需根据招标文件要求提供培训计划。</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09" w:name="_Toc14577359"/>
      <w:r/>
      <w:bookmarkStart w:id="110" w:name="_Toc49090510"/>
      <w:r>
        <w:rPr>
          <w:rFonts w:hint="eastAsia" w:ascii="宋体" w:hAnsi="宋体" w:eastAsia="宋体" w:cs="宋体"/>
          <w:color w:val="000000"/>
          <w:sz w:val="24"/>
          <w:szCs w:val="24"/>
          <w:highlight w:val="none"/>
        </w:rPr>
        <w:t xml:space="preserve">15、投标函和开标一览表</w:t>
      </w:r>
      <w:bookmarkEnd w:id="109"/>
      <w:r/>
      <w:bookmarkEnd w:id="110"/>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15.1投标人应按照招标文件中提供的格式完整、正确填写投标函、开标一览表。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11" w:name="_Toc49090511"/>
      <w:r/>
      <w:bookmarkStart w:id="112" w:name="_Toc14577360"/>
      <w:r>
        <w:rPr>
          <w:rFonts w:hint="eastAsia" w:ascii="宋体" w:hAnsi="宋体" w:eastAsia="宋体" w:cs="宋体"/>
          <w:color w:val="000000"/>
          <w:sz w:val="24"/>
          <w:szCs w:val="24"/>
          <w:highlight w:val="none"/>
        </w:rPr>
        <w:t xml:space="preserve">16、投标有效期</w:t>
      </w:r>
      <w:bookmarkEnd w:id="111"/>
      <w:r/>
      <w:bookmarkEnd w:id="112"/>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13" w:name="_Toc120614217"/>
      <w:r/>
      <w:bookmarkStart w:id="114" w:name="_Toc16938540"/>
      <w:r/>
      <w:bookmarkStart w:id="115" w:name="_Toc513029224"/>
      <w:r/>
      <w:bookmarkStart w:id="116" w:name="_Toc20823296"/>
      <w:r>
        <w:rPr>
          <w:rFonts w:hint="eastAsia" w:ascii="宋体" w:hAnsi="宋体" w:eastAsia="宋体" w:cs="宋体"/>
          <w:b/>
          <w:color w:val="000000"/>
          <w:sz w:val="24"/>
          <w:szCs w:val="24"/>
          <w:highlight w:val="none"/>
        </w:rPr>
        <w:t xml:space="preserve">四、投标文件的递交</w:t>
      </w:r>
      <w:bookmarkEnd w:id="113"/>
      <w:r/>
      <w:bookmarkEnd w:id="114"/>
      <w:r/>
      <w:bookmarkEnd w:id="115"/>
      <w:r/>
      <w:bookmarkEnd w:id="116"/>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17" w:name="_Toc462564084"/>
      <w:r/>
      <w:bookmarkStart w:id="118" w:name="_Toc20823297"/>
      <w:r/>
      <w:bookmarkStart w:id="119" w:name="_Toc513029225"/>
      <w:r/>
      <w:bookmarkStart w:id="120" w:name="_Toc16938541"/>
      <w:r>
        <w:rPr>
          <w:rFonts w:hint="eastAsia" w:ascii="宋体" w:hAnsi="宋体" w:eastAsia="宋体" w:cs="宋体"/>
          <w:color w:val="000000"/>
          <w:sz w:val="24"/>
          <w:szCs w:val="24"/>
          <w:highlight w:val="none"/>
        </w:rPr>
        <w:t xml:space="preserve">18、电子投标文件</w:t>
      </w:r>
      <w:bookmarkEnd w:id="117"/>
      <w:r/>
      <w:bookmarkEnd w:id="118"/>
      <w:r/>
      <w:bookmarkEnd w:id="119"/>
      <w:r/>
      <w:bookmarkEnd w:id="120"/>
      <w:r>
        <w:rPr>
          <w:rFonts w:hint="eastAsia" w:ascii="宋体" w:hAnsi="宋体" w:eastAsia="宋体" w:cs="宋体"/>
          <w:color w:val="000000"/>
          <w:sz w:val="24"/>
          <w:szCs w:val="24"/>
          <w:highlight w:val="none"/>
        </w:rPr>
        <w:t xml:space="preserve">的递交</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21" w:name="_Toc20823298"/>
      <w:r/>
      <w:bookmarkEnd w:id="121"/>
      <w:r/>
      <w:bookmarkStart w:id="122" w:name="_Toc16938542"/>
      <w:r/>
      <w:bookmarkEnd w:id="122"/>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19.1投标人上传电子投标文件的时间不得迟于招标公告中规定的投标截止时间。</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19.2采购中心可以按照规定，通过修改招标文件酌情延长投标截止日期，在此情况下，投标人的所有权利和义务以及投标人受制的截止日期均应以延长后新的截止日期为准。</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23" w:name="_Toc20823299"/>
      <w:r/>
      <w:bookmarkStart w:id="124" w:name="_Toc16938543"/>
      <w:r/>
      <w:bookmarkStart w:id="125" w:name="_Toc513029227"/>
      <w:r>
        <w:rPr>
          <w:rFonts w:hint="eastAsia" w:ascii="宋体" w:hAnsi="宋体" w:eastAsia="宋体" w:cs="宋体"/>
          <w:color w:val="000000"/>
          <w:sz w:val="24"/>
          <w:szCs w:val="24"/>
          <w:highlight w:val="none"/>
        </w:rPr>
        <w:t xml:space="preserve">20、投标文件</w:t>
      </w:r>
      <w:bookmarkEnd w:id="123"/>
      <w:r/>
      <w:bookmarkEnd w:id="124"/>
      <w:r/>
      <w:bookmarkEnd w:id="125"/>
      <w:r>
        <w:rPr>
          <w:rFonts w:hint="eastAsia" w:ascii="宋体" w:hAnsi="宋体" w:eastAsia="宋体" w:cs="宋体"/>
          <w:color w:val="000000"/>
          <w:sz w:val="24"/>
          <w:szCs w:val="24"/>
          <w:highlight w:val="none"/>
        </w:rPr>
        <w:t xml:space="preserve">的拒收</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20.1采购中心拒绝接收在其规定的投标截止时间后上传的任何投标文件。</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26" w:name="_Toc20823300"/>
      <w:r/>
      <w:bookmarkStart w:id="127" w:name="_Toc16938544"/>
      <w:r/>
      <w:bookmarkStart w:id="128" w:name="_Toc513029228"/>
      <w:r>
        <w:rPr>
          <w:rFonts w:hint="eastAsia" w:ascii="宋体" w:hAnsi="宋体" w:eastAsia="宋体" w:cs="宋体"/>
          <w:color w:val="000000"/>
          <w:sz w:val="24"/>
          <w:szCs w:val="24"/>
          <w:highlight w:val="none"/>
        </w:rPr>
        <w:t xml:space="preserve">21、投标文件的撤回和修改</w:t>
      </w:r>
      <w:bookmarkEnd w:id="126"/>
      <w:r/>
      <w:bookmarkEnd w:id="127"/>
      <w:r/>
      <w:bookmarkEnd w:id="128"/>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21.1投标文件的撤回</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21.1.1电子投标文件的撤回</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21.2投标文件的修改</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21.2.2在投标截止时间之后，投标人不得对其电子投标文件作任何修改。</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21.3在投标截止时间至招标文件中规定的投标有效期满之间的这段时间内，投标人不得撤回其投标。</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29" w:name="_Toc16938545"/>
      <w:r/>
      <w:bookmarkStart w:id="130" w:name="_Toc120614218"/>
      <w:r/>
      <w:bookmarkStart w:id="131" w:name="_Toc513029229"/>
      <w:r/>
      <w:bookmarkStart w:id="132" w:name="_Toc20823301"/>
      <w:r>
        <w:rPr>
          <w:rFonts w:hint="eastAsia" w:ascii="宋体" w:hAnsi="宋体" w:eastAsia="宋体" w:cs="宋体"/>
          <w:b/>
          <w:color w:val="000000"/>
          <w:sz w:val="24"/>
          <w:szCs w:val="24"/>
          <w:highlight w:val="none"/>
        </w:rPr>
        <w:t xml:space="preserve">五、开标与评标</w:t>
      </w:r>
      <w:bookmarkEnd w:id="129"/>
      <w:r/>
      <w:bookmarkEnd w:id="130"/>
      <w:r/>
      <w:bookmarkEnd w:id="131"/>
      <w:r/>
      <w:bookmarkEnd w:id="132"/>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33" w:name="_Toc513029230"/>
      <w:r/>
      <w:bookmarkStart w:id="134" w:name="_Toc20823302"/>
      <w:r/>
      <w:bookmarkStart w:id="135" w:name="_Toc16938546"/>
      <w:r>
        <w:rPr>
          <w:rFonts w:hint="eastAsia" w:ascii="宋体" w:hAnsi="宋体" w:eastAsia="宋体" w:cs="宋体"/>
          <w:color w:val="000000"/>
          <w:sz w:val="24"/>
          <w:szCs w:val="24"/>
          <w:highlight w:val="none"/>
        </w:rPr>
        <w:t xml:space="preserve">22、开标</w:t>
      </w:r>
      <w:bookmarkEnd w:id="133"/>
      <w:r/>
      <w:bookmarkEnd w:id="134"/>
      <w:r/>
      <w:bookmarkEnd w:id="135"/>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22.1采购中心将在招标公告中规定的时间和地点组织公开开标。投标人应当按照《操作手册》规定，参加开标活动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36" w:name="_Toc513029231"/>
      <w:r/>
      <w:bookmarkStart w:id="137" w:name="_Toc16938547"/>
      <w:r/>
      <w:bookmarkStart w:id="138" w:name="_Toc20823303"/>
      <w:r>
        <w:rPr>
          <w:rFonts w:hint="eastAsia" w:ascii="宋体" w:hAnsi="宋体" w:eastAsia="宋体" w:cs="宋体"/>
          <w:color w:val="000000"/>
          <w:sz w:val="24"/>
          <w:szCs w:val="24"/>
          <w:highlight w:val="none"/>
        </w:rPr>
        <w:t xml:space="preserve">23、评标委员会</w:t>
      </w:r>
      <w:bookmarkEnd w:id="136"/>
      <w:r/>
      <w:bookmarkEnd w:id="137"/>
      <w:r/>
      <w:bookmarkEnd w:id="138"/>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23.1开标后，采购中心将立即组织评标委员会（以下简称评委会）进行评标。</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24.3采购中心和评标委员会不向未中标的投标人解释未中标原因，也不公布评标过程中的相关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39" w:name="_Toc513029232"/>
      <w:r/>
      <w:bookmarkStart w:id="140" w:name="_Toc16938548"/>
      <w:r/>
      <w:bookmarkStart w:id="141" w:name="_Toc20823304"/>
      <w:r>
        <w:rPr>
          <w:rFonts w:hint="eastAsia" w:ascii="宋体" w:hAnsi="宋体" w:eastAsia="宋体" w:cs="宋体"/>
          <w:color w:val="000000"/>
          <w:sz w:val="24"/>
          <w:szCs w:val="24"/>
          <w:highlight w:val="none"/>
        </w:rPr>
        <w:t xml:space="preserve">25．投标文件的澄清</w:t>
      </w:r>
      <w:bookmarkEnd w:id="139"/>
      <w:r/>
      <w:bookmarkEnd w:id="140"/>
      <w:r/>
      <w:bookmarkEnd w:id="141"/>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bookmarkStart w:id="142" w:name="_Toc20823305"/>
      <w:r/>
      <w:bookmarkStart w:id="143" w:name="_Toc513029233"/>
      <w:r/>
      <w:bookmarkStart w:id="144"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42"/>
      <w:r/>
      <w:bookmarkEnd w:id="143"/>
      <w:r/>
      <w:bookmarkEnd w:id="144"/>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bookmarkStart w:id="145" w:name="_Toc513029234"/>
      <w:r/>
      <w:bookmarkStart w:id="146" w:name="_Toc16938550"/>
      <w:r/>
      <w:bookmarkStart w:id="147" w:name="_Toc20823306"/>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5"/>
      <w:r/>
      <w:bookmarkEnd w:id="146"/>
      <w:r/>
      <w:bookmarkEnd w:id="147"/>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8" w:name="_Toc513029235"/>
      <w:r/>
      <w:bookmarkStart w:id="149" w:name="_Toc20823307"/>
      <w:r/>
      <w:bookmarkStart w:id="150" w:name="_Toc16938551"/>
      <w:r>
        <w:rPr>
          <w:rFonts w:hint="eastAsia" w:ascii="宋体" w:hAnsi="宋体" w:eastAsia="宋体" w:cs="宋体"/>
          <w:color w:val="auto"/>
          <w:sz w:val="24"/>
          <w:szCs w:val="24"/>
          <w:highlight w:val="none"/>
        </w:rPr>
        <w:t xml:space="preserve">27.1无效投标条款</w:t>
      </w:r>
      <w:bookmarkEnd w:id="148"/>
      <w:r/>
      <w:bookmarkEnd w:id="149"/>
      <w:r/>
      <w:bookmarkEnd w:id="150"/>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18"/>
        <w:ind w:lef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8"/>
        <w:ind w:left="0" w:right="0" w:firstLine="482"/>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51" w:name="_Toc120614219"/>
      <w:r>
        <w:rPr>
          <w:rFonts w:hint="eastAsia" w:ascii="宋体" w:hAnsi="宋体" w:eastAsia="宋体" w:cs="宋体"/>
          <w:b/>
          <w:color w:val="000000"/>
          <w:sz w:val="24"/>
          <w:szCs w:val="24"/>
          <w:highlight w:val="none"/>
        </w:rPr>
        <w:t xml:space="preserve">六、定标</w:t>
      </w:r>
      <w:bookmarkEnd w:id="151"/>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52" w:name="_Toc20823310"/>
      <w:r/>
      <w:bookmarkStart w:id="153" w:name="_Toc513029238"/>
      <w:r/>
      <w:bookmarkStart w:id="154" w:name="_Toc16938554"/>
      <w:r>
        <w:rPr>
          <w:rFonts w:hint="eastAsia" w:ascii="宋体" w:hAnsi="宋体" w:eastAsia="宋体" w:cs="宋体"/>
          <w:color w:val="000000"/>
          <w:sz w:val="24"/>
          <w:szCs w:val="24"/>
          <w:highlight w:val="none"/>
        </w:rPr>
        <w:t xml:space="preserve">28、</w:t>
      </w:r>
      <w:bookmarkEnd w:id="152"/>
      <w:r>
        <w:rPr>
          <w:rFonts w:hint="eastAsia" w:ascii="宋体" w:hAnsi="宋体" w:eastAsia="宋体" w:cs="宋体"/>
          <w:color w:val="000000"/>
          <w:sz w:val="24"/>
          <w:szCs w:val="24"/>
          <w:highlight w:val="none"/>
        </w:rPr>
        <w:t xml:space="preserve">确定</w:t>
      </w:r>
      <w:bookmarkEnd w:id="153"/>
      <w:r/>
      <w:bookmarkEnd w:id="154"/>
      <w:r>
        <w:rPr>
          <w:rFonts w:hint="eastAsia" w:ascii="宋体" w:hAnsi="宋体" w:eastAsia="宋体" w:cs="宋体"/>
          <w:color w:val="000000"/>
          <w:sz w:val="24"/>
          <w:szCs w:val="24"/>
          <w:highlight w:val="none"/>
        </w:rPr>
        <w:t xml:space="preserve">中标单位</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28.1中标候选人的选取原则和数量见招标文件第五章规定。</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28.2采购人应根据评委会推荐的中标候选人确定中标人。</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bookmarkStart w:id="155" w:name="_Toc200451960"/>
      <w:r>
        <w:rPr>
          <w:rFonts w:hint="eastAsia" w:ascii="宋体" w:hAnsi="宋体" w:eastAsia="宋体" w:cs="宋体"/>
          <w:color w:val="000000"/>
          <w:sz w:val="24"/>
          <w:szCs w:val="24"/>
          <w:highlight w:val="none"/>
        </w:rPr>
        <w:t xml:space="preserve">28.5.有下列情形之一的，视为投标人串通投标，投标无效：</w:t>
      </w:r>
      <w:bookmarkEnd w:id="155"/>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28.5.3不同投标人的投标文件载明的项目管理成员或者联系人员为同一人；</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18"/>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pStyle w:val="718"/>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u w:val="single"/>
          <w:lang w:val="en-US" w:eastAsia="zh-CN"/>
        </w:rPr>
        <w:t xml:space="preserve">滨海县政府采购中心</w:t>
      </w: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u w:val="single"/>
          <w:lang w:val="en-US" w:eastAsia="zh-CN"/>
        </w:rPr>
        <w:t xml:space="preserve">滨海县县城育才路 166 号滨海县政务服务中心</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15851110809</w:t>
      </w:r>
      <w:r>
        <w:rPr>
          <w:rFonts w:hint="eastAsia" w:ascii="宋体" w:hAnsi="宋体" w:eastAsia="宋体" w:cs="宋体"/>
          <w:color w:val="auto"/>
          <w:sz w:val="24"/>
          <w:szCs w:val="24"/>
          <w:highlight w:val="none"/>
        </w:rPr>
        <w:t xml:space="preserve">。</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29.5以下情形的质疑不予受理</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29.5.1内容不符合《政府采购质疑和投诉办法》第十二条规定的质疑。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29.5.2超出政府采购法定期限的质疑。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29.5.3以传真、电子邮件等方式递交的非原件形式的质疑。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30.l中标结果确定后，采购中心将向中标人发出中标通知书。请中标人在中标结果公告届满之日起30日内,使用CA数字证书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8"/>
        <w:ind w:left="0" w:firstLine="482"/>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56" w:name="_Toc20823308"/>
      <w:r/>
      <w:bookmarkStart w:id="157" w:name="_Toc120614220"/>
      <w:r/>
      <w:bookmarkStart w:id="158" w:name="_Toc513029236"/>
      <w:r/>
      <w:bookmarkStart w:id="159" w:name="_Toc16938552"/>
      <w:r>
        <w:rPr>
          <w:rFonts w:hint="eastAsia" w:ascii="宋体" w:hAnsi="宋体" w:eastAsia="宋体" w:cs="宋体"/>
          <w:b/>
          <w:color w:val="000000"/>
          <w:sz w:val="24"/>
          <w:szCs w:val="24"/>
          <w:highlight w:val="none"/>
        </w:rPr>
        <w:t xml:space="preserve">七、授予合同</w:t>
      </w:r>
      <w:bookmarkEnd w:id="156"/>
      <w:r/>
      <w:bookmarkEnd w:id="157"/>
      <w:r/>
      <w:bookmarkEnd w:id="158"/>
      <w:r/>
      <w:bookmarkEnd w:id="159"/>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bookmarkStart w:id="160" w:name="_Toc16938553"/>
      <w:r/>
      <w:bookmarkStart w:id="161" w:name="_Toc20823309"/>
      <w:r/>
      <w:bookmarkStart w:id="162" w:name="_Toc513029237"/>
      <w:r>
        <w:rPr>
          <w:rFonts w:hint="eastAsia" w:ascii="宋体" w:hAnsi="宋体" w:eastAsia="宋体" w:cs="宋体"/>
          <w:color w:val="000000"/>
          <w:sz w:val="24"/>
          <w:szCs w:val="24"/>
          <w:highlight w:val="none"/>
        </w:rPr>
        <w:t xml:space="preserve">31.签订合同</w:t>
      </w:r>
      <w:bookmarkEnd w:id="160"/>
      <w:r/>
      <w:bookmarkEnd w:id="161"/>
      <w:r/>
      <w:bookmarkEnd w:id="162"/>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（备注：项目经办人在发标前应与采购人商定是否允许中标人分包履行合同，确定后该备注删除）</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718"/>
        <w:ind w:left="0" w:firstLine="480"/>
        <w:jc w:val="both"/>
        <w:pageBreakBefore w:val="0"/>
        <w:spacing w:beforeAutospacing="0" w:afterAutospacing="0" w:line="5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8"/>
        <w:numPr>
          <w:ilvl w:val="0"/>
          <w:numId w:val="0"/>
        </w:numPr>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18"/>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18"/>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line="5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1.本项目对采购本国产品给予政策支持，具体内容见招标文件“第五章评标方法与评标标准”。</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79"/>
        <w:ind w:left="0" w:firstLine="480"/>
        <w:pageBreakBefore w:val="0"/>
        <w:spacing w:after="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r/>
      <w:r/>
    </w:p>
    <w:p>
      <w:r/>
      <w:r/>
    </w:p>
    <w:p>
      <w:pPr>
        <w:ind w:firstLine="880"/>
        <w:jc w:val="center"/>
        <w:pageBreakBefore w:val="0"/>
        <w:spacing w:line="520" w:lineRule="exact"/>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r>
      <w:r/>
    </w:p>
    <w:p>
      <w:pPr>
        <w:rPr>
          <w:rFonts w:hint="eastAsia" w:ascii="方正小标宋简体" w:hAnsi="方正小标宋简体" w:eastAsia="方正小标宋简体" w:cs="方正小标宋简体"/>
          <w:color w:val="auto"/>
          <w:sz w:val="44"/>
          <w:szCs w:val="44"/>
          <w:highlight w:val="none"/>
        </w:rPr>
      </w:pPr>
      <w:r/>
      <w:bookmarkStart w:id="163" w:name="_Toc25097"/>
      <w:r/>
      <w:bookmarkStart w:id="164" w:name="_Toc3194"/>
      <w:r/>
      <w:bookmarkStart w:id="165" w:name="_Hlt16619475"/>
      <w:r/>
      <w:bookmarkStart w:id="166" w:name="_Hlt26670399"/>
      <w:r/>
      <w:bookmarkStart w:id="167" w:name="_Hlt26954842"/>
      <w:r/>
      <w:bookmarkStart w:id="168" w:name="_Hlt26670360"/>
      <w:r/>
      <w:bookmarkStart w:id="169" w:name="_Hlt26670403"/>
      <w:r/>
      <w:bookmarkStart w:id="170" w:name="_Toc513029226"/>
      <w:r/>
      <w:bookmarkStart w:id="171" w:name="_Hlt26954739"/>
      <w:r/>
      <w:bookmarkStart w:id="172" w:name="_Hlt26670489"/>
      <w:r/>
      <w:bookmarkStart w:id="173" w:name="_Hlt26954731"/>
      <w:r/>
      <w:bookmarkStart w:id="174" w:name="_Hlt26954850"/>
      <w:r/>
      <w:bookmarkStart w:id="175" w:name="_Hlt26670486"/>
      <w:r/>
      <w:bookmarkStart w:id="176" w:name="_Hlt26954846"/>
      <w:r/>
      <w:bookmarkStart w:id="177" w:name="_Hlt26954734"/>
      <w:r/>
      <w:bookmarkStart w:id="178" w:name="_Hlt26668983"/>
      <w:r/>
      <w:bookmarkStart w:id="179" w:name="_Hlt26670482"/>
      <w:r/>
      <w:bookmarkStart w:id="180" w:name="_Hlt26954844"/>
      <w:r/>
      <w:bookmarkStart w:id="181" w:name="_Hlt26954852"/>
      <w:r/>
      <w:bookmarkStart w:id="182" w:name="_Hlt26954848"/>
      <w:r/>
      <w:bookmarkStart w:id="183" w:name="_Hlt26670373"/>
      <w:r/>
      <w:bookmarkStart w:id="184" w:name="_Hlt26668975"/>
      <w:r/>
      <w:bookmarkStart w:id="185" w:name="_Hlt26670425"/>
      <w:r/>
      <w:bookmarkStart w:id="186" w:name="_Hlt26954838"/>
      <w:r/>
      <w:bookmarkStart w:id="187" w:name="_Hlt26954840"/>
      <w:r>
        <w:rPr>
          <w:rFonts w:hint="eastAsia" w:ascii="方正小标宋简体" w:hAnsi="方正小标宋简体" w:eastAsia="方正小标宋简体" w:cs="方正小标宋简体"/>
          <w:color w:val="auto"/>
          <w:sz w:val="44"/>
          <w:szCs w:val="44"/>
          <w:highlight w:val="none"/>
        </w:rPr>
        <w:br w:type="page" w:clear="all"/>
      </w:r>
      <w:r/>
    </w:p>
    <w:p>
      <w:pPr>
        <w:jc w:val="center"/>
        <w:rPr>
          <w:rFonts w:hint="eastAsia" w:ascii="方正小标宋简体" w:hAnsi="方正小标宋简体" w:eastAsia="方正小标宋简体" w:cs="方正小标宋简体"/>
          <w:color w:val="auto"/>
          <w:sz w:val="44"/>
          <w:szCs w:val="44"/>
          <w:highlight w:val="none"/>
        </w:rPr>
        <w:outlineLvl w:val="0"/>
      </w:pPr>
      <w:r>
        <w:rPr>
          <w:rFonts w:hint="eastAsia" w:ascii="方正小标宋简体" w:hAnsi="方正小标宋简体" w:eastAsia="方正小标宋简体" w:cs="方正小标宋简体"/>
          <w:color w:val="auto"/>
          <w:sz w:val="44"/>
          <w:szCs w:val="44"/>
          <w:highlight w:val="none"/>
        </w:rPr>
        <w:t xml:space="preserve">第三章  合同文本</w:t>
      </w:r>
      <w:bookmarkEnd w:id="163"/>
      <w:r/>
      <w:bookmarkEnd w:id="164"/>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hint="eastAsia" w:ascii="宋体" w:hAnsi="宋体" w:cs="宋体"/>
          <w:sz w:val="30"/>
          <w:highlight w:val="none"/>
        </w:rPr>
      </w:pPr>
      <w:r>
        <w:rPr>
          <w:rFonts w:hint="eastAsia" w:ascii="宋体" w:hAnsi="宋体" w:cs="宋体"/>
          <w:sz w:val="30"/>
          <w:highlight w:val="none"/>
        </w:rPr>
      </w:r>
      <w:r/>
    </w:p>
    <w:p>
      <w:pPr>
        <w:jc w:val="center"/>
        <w:rPr>
          <w:rFonts w:ascii="宋体" w:hAnsi="宋体" w:cs="宋体"/>
          <w:sz w:val="40"/>
          <w:szCs w:val="36"/>
          <w:highlight w:val="none"/>
        </w:rPr>
      </w:pPr>
      <w:r>
        <w:rPr>
          <w:rFonts w:hint="eastAsia" w:ascii="宋体" w:hAnsi="宋体" w:cs="宋体"/>
          <w:sz w:val="40"/>
          <w:szCs w:val="36"/>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numPr>
          <w:ilvl w:val="0"/>
          <w:numId w:val="0"/>
        </w:numPr>
        <w:ind w:left="0" w:firstLine="720"/>
        <w:jc w:val="center"/>
        <w:keepLines w:val="0"/>
        <w:keepNext w:val="0"/>
        <w:pageBreakBefore w:val="0"/>
        <w:spacing w:line="360" w:lineRule="auto"/>
        <w:widowControl w:val="off"/>
        <w:rPr>
          <w:rFonts w:hint="eastAsia" w:ascii="方正小标宋简体" w:hAnsi="方正小标宋简体" w:eastAsia="方正小标宋简体" w:cs="方正小标宋简体"/>
          <w:sz w:val="36"/>
          <w:szCs w:val="36"/>
          <w:highlight w:val="none"/>
        </w:rPr>
      </w:pPr>
      <w:r/>
      <w:bookmarkStart w:id="188" w:name="_Toc479757211"/>
      <w:r/>
      <w:bookmarkStart w:id="189" w:name="_Toc20823346"/>
      <w:r/>
      <w:bookmarkStart w:id="190" w:name="_Toc16938590"/>
      <w:r/>
      <w:bookmarkStart w:id="191" w:name="_Toc462564139"/>
      <w:r/>
      <w:bookmarkStart w:id="192" w:name="_Toc120614244"/>
      <w:r/>
      <w:bookmarkStart w:id="193" w:name="_Hlt16619350"/>
      <w:r/>
      <w:bookmarkStart w:id="194" w:name="_Toc4301"/>
      <w:r/>
      <w:bookmarkStart w:id="195" w:name="_Toc26134"/>
      <w:r/>
      <w:bookmarkStart w:id="196" w:name="_Hlt16619369"/>
      <w:r/>
      <w:bookmarkStart w:id="197" w:name="_Toc120614281"/>
      <w:r>
        <w:rPr>
          <w:rFonts w:hint="eastAsia" w:ascii="方正小标宋简体" w:hAnsi="方正小标宋简体" w:eastAsia="方正小标宋简体" w:cs="方正小标宋简体"/>
          <w:sz w:val="36"/>
          <w:szCs w:val="36"/>
          <w:lang w:val="en-US" w:eastAsia="zh-CN" w:bidi="ar-SA"/>
        </w:rPr>
        <w:t xml:space="preserve">第一节 </w:t>
      </w:r>
      <w:r>
        <w:rPr>
          <w:rFonts w:hint="eastAsia" w:ascii="方正小标宋简体" w:hAnsi="方正小标宋简体" w:eastAsia="方正小标宋简体" w:cs="方正小标宋简体"/>
          <w:sz w:val="36"/>
          <w:szCs w:val="36"/>
          <w:highlight w:val="none"/>
        </w:rPr>
        <w:t xml:space="preserve">政府采购合同协议书</w:t>
      </w:r>
      <w:r/>
    </w:p>
    <w:p>
      <w:pPr>
        <w:numPr>
          <w:ilvl w:val="0"/>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甲方（全称）：</w:t>
      </w:r>
      <w:r>
        <w:rPr>
          <w:rFonts w:hint="eastAsia" w:ascii="宋体" w:hAnsi="宋体"/>
          <w:color w:val="2b2bff"/>
          <w:sz w:val="24"/>
          <w:szCs w:val="24"/>
          <w:highlight w:val="none"/>
          <w:u w:val="single"/>
        </w:rPr>
        <w:t xml:space="preserve">滨海县农业综合行政执法大队</w:t>
      </w:r>
      <w:r/>
    </w:p>
    <w:p>
      <w:pPr>
        <w:ind w:left="0" w:firstLine="480"/>
        <w:keepLines w:val="0"/>
        <w:keepNext w:val="0"/>
        <w:pageBreakBefore w:val="0"/>
        <w:spacing w:line="520" w:lineRule="exact"/>
        <w:rPr>
          <w:rFonts w:hint="default" w:ascii="宋体" w:hAnsi="宋体"/>
          <w:sz w:val="24"/>
          <w:szCs w:val="24"/>
          <w:highlight w:val="none"/>
          <w:lang w:val="en-US"/>
        </w:rPr>
      </w:pPr>
      <w:r>
        <w:rPr>
          <w:rFonts w:hint="eastAsia" w:ascii="宋体" w:hAnsi="宋体"/>
          <w:sz w:val="24"/>
          <w:szCs w:val="24"/>
          <w:highlight w:val="none"/>
        </w:rPr>
        <w:t xml:space="preserve">乙方（全称）：</w:t>
      </w:r>
      <w:r>
        <w:rPr>
          <w:rFonts w:hint="eastAsia" w:ascii="宋体" w:hAnsi="宋体"/>
          <w:sz w:val="24"/>
          <w:szCs w:val="24"/>
          <w:highlight w:val="none"/>
          <w:u w:val="single"/>
          <w:lang w:val="en-US" w:eastAsia="zh-CN"/>
        </w:rPr>
        <w:t xml:space="preserve">   （中标供应商名称）     </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依据《中华人民共和国民法典</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1.</w:t>
      </w:r>
      <w:r>
        <w:rPr>
          <w:rFonts w:hint="eastAsia" w:ascii="宋体" w:hAnsi="宋体"/>
          <w:b/>
          <w:sz w:val="24"/>
          <w:szCs w:val="24"/>
          <w:highlight w:val="none"/>
        </w:rPr>
        <w:t xml:space="preserve">项目信息</w:t>
      </w:r>
      <w:r/>
    </w:p>
    <w:p>
      <w:pPr>
        <w:numPr>
          <w:ilvl w:val="0"/>
          <w:numId w:val="0"/>
        </w:numPr>
        <w:ind w:left="0" w:firstLine="480"/>
        <w:keepLines w:val="0"/>
        <w:keepNext w:val="0"/>
        <w:pageBreakBefore w:val="0"/>
        <w:spacing w:line="520" w:lineRule="exact"/>
        <w:rPr>
          <w:rFonts w:ascii="宋体" w:hAnsi="宋体"/>
          <w:sz w:val="24"/>
          <w:szCs w:val="24"/>
          <w:highlight w:val="none"/>
        </w:rPr>
      </w:pPr>
      <w:r>
        <w:rPr>
          <w:rFonts w:ascii="宋体" w:hAnsi="宋体" w:eastAsiaTheme="minorEastAsia" w:cstheme="minorBidi"/>
          <w:sz w:val="24"/>
          <w:szCs w:val="24"/>
          <w:lang w:val="en-US" w:eastAsia="zh-CN" w:bidi="ar-SA"/>
        </w:rPr>
        <w:t xml:space="preserve">（1）</w:t>
      </w:r>
      <w:r>
        <w:rPr>
          <w:rFonts w:hint="eastAsia" w:ascii="宋体" w:hAnsi="宋体"/>
          <w:sz w:val="24"/>
          <w:szCs w:val="24"/>
          <w:highlight w:val="none"/>
        </w:rPr>
        <w:t xml:space="preserve">采购项目名称：</w:t>
      </w:r>
      <w:r>
        <w:rPr>
          <w:rFonts w:hint="eastAsia" w:ascii="宋体" w:hAnsi="宋体"/>
          <w:color w:val="2b2bff"/>
          <w:sz w:val="24"/>
          <w:szCs w:val="24"/>
          <w:highlight w:val="none"/>
          <w:u w:val="single"/>
        </w:rPr>
        <w:t xml:space="preserve">滨海县农业综合行政执法大队执法船柴油采购项目</w:t>
      </w:r>
      <w:r/>
    </w:p>
    <w:p>
      <w:pPr>
        <w:numPr>
          <w:ilvl w:val="0"/>
          <w:numId w:val="0"/>
        </w:numPr>
        <w:ind w:left="0" w:firstLine="480"/>
        <w:keepLines w:val="0"/>
        <w:keepNext w:val="0"/>
        <w:pageBreakBefore w:val="0"/>
        <w:spacing w:line="520" w:lineRule="exact"/>
        <w:rPr>
          <w:rFonts w:hint="eastAsia" w:ascii="宋体" w:hAnsi="宋体" w:eastAsia="宋体"/>
          <w:sz w:val="24"/>
          <w:szCs w:val="24"/>
          <w:highlight w:val="none"/>
          <w:lang w:eastAsia="zh-CN"/>
        </w:rPr>
      </w:pPr>
      <w:r>
        <w:rPr>
          <w:rFonts w:ascii="宋体" w:hAnsi="宋体" w:eastAsiaTheme="minorEastAsia" w:cstheme="minorBidi"/>
          <w:sz w:val="24"/>
          <w:szCs w:val="24"/>
          <w:lang w:val="en-US" w:eastAsia="zh-CN" w:bidi="ar-SA"/>
        </w:rPr>
        <w:t xml:space="preserve">（2）</w:t>
      </w:r>
      <w:r>
        <w:rPr>
          <w:rFonts w:hint="eastAsia" w:ascii="宋体" w:hAnsi="宋体"/>
          <w:sz w:val="24"/>
          <w:szCs w:val="24"/>
          <w:highlight w:val="none"/>
        </w:rPr>
        <w:t xml:space="preserve">采购项目编号：</w:t>
      </w:r>
      <w:r>
        <w:rPr>
          <w:rFonts w:hint="eastAsia" w:ascii="宋体" w:hAnsi="宋体" w:eastAsia="宋体"/>
          <w:color w:val="2b2bff"/>
          <w:sz w:val="24"/>
          <w:szCs w:val="24"/>
          <w:highlight w:val="none"/>
          <w:u w:val="single"/>
          <w:lang w:eastAsia="zh-CN"/>
        </w:rPr>
        <w:t xml:space="preserve">JSZC-320922-JZCG-G2026-0007</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）采购计划编号：</w:t>
      </w:r>
      <w:r>
        <w:rPr>
          <w:rFonts w:hint="eastAsia" w:ascii="宋体" w:hAnsi="宋体"/>
          <w:sz w:val="24"/>
          <w:szCs w:val="24"/>
          <w:highlight w:val="none"/>
          <w:u w:val="single"/>
          <w:lang w:val="en-US" w:eastAsia="zh-CN"/>
        </w:rPr>
        <w:t xml:space="preserve">                          </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）项目内容：</w:t>
      </w:r>
      <w:r>
        <w:rPr>
          <w:rFonts w:hint="eastAsia" w:ascii="宋体" w:hAnsi="宋体"/>
          <w:color w:val="2b2bff"/>
          <w:sz w:val="24"/>
          <w:szCs w:val="24"/>
          <w:highlight w:val="none"/>
          <w:u w:val="single"/>
        </w:rPr>
        <w:t xml:space="preserve">采购标的及数量：0号车用柴油、95号车用汽油（按采购人实际用油需求分批次供应）</w:t>
      </w:r>
      <w:r>
        <w:rPr>
          <w:rFonts w:hint="eastAsia" w:ascii="宋体" w:hAnsi="宋体"/>
          <w:color w:val="2b2bff"/>
          <w:sz w:val="24"/>
          <w:szCs w:val="24"/>
          <w:highlight w:val="none"/>
          <w:u w:val="single"/>
          <w:lang w:eastAsia="zh-CN"/>
        </w:rPr>
        <w:t xml:space="preserve">。</w:t>
      </w:r>
      <w:r>
        <w:rPr>
          <w:rFonts w:hint="eastAsia" w:ascii="宋体" w:hAnsi="宋体"/>
          <w:color w:val="2b2bff"/>
          <w:sz w:val="24"/>
          <w:szCs w:val="24"/>
          <w:highlight w:val="none"/>
          <w:u w:val="single"/>
        </w:rPr>
        <w:t xml:space="preserve">品牌：/规格型号：0号车用柴油（GB 19147-2016）、95号车用汽油（GB 17930-2016）</w:t>
      </w:r>
      <w:r/>
    </w:p>
    <w:p>
      <w:pPr>
        <w:numPr>
          <w:ilvl w:val="255"/>
          <w:numId w:val="0"/>
        </w:numPr>
        <w:ind w:left="0" w:firstLine="480"/>
        <w:jc w:val="left"/>
        <w:keepLines w:val="0"/>
        <w:keepNext w:val="0"/>
        <w:pageBreakBefore w:val="0"/>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）政府采购组织形式：</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政府集中采购</w:t>
      </w:r>
      <w:r>
        <w:rPr>
          <w:rFonts w:hint="eastAsia" w:ascii="宋体" w:hAnsi="宋体" w:cs="宋体"/>
          <w:sz w:val="24"/>
          <w:szCs w:val="24"/>
          <w:highlight w:val="none"/>
          <w:lang w:val="en-US" w:eastAsia="zh-CN"/>
        </w:rPr>
        <w:t xml:space="preserve">  </w:t>
      </w:r>
      <w:r>
        <w:rPr>
          <w:rFonts w:ascii="Wingdings" w:hAnsi="Wingdings" w:eastAsia="Wingdings" w:cs="Wingdings"/>
          <w:color w:val="0000ff"/>
          <w:sz w:val="24"/>
          <w:szCs w:val="24"/>
          <w:highlight w:val="none"/>
        </w:rPr>
        <w:t xml:space="preserve">þ</w:t>
      </w:r>
      <w:r>
        <w:rPr>
          <w:rFonts w:hint="eastAsia" w:ascii="宋体" w:hAnsi="宋体" w:cs="宋体"/>
          <w:color w:val="0000ff"/>
          <w:sz w:val="24"/>
          <w:szCs w:val="24"/>
          <w:highlight w:val="none"/>
        </w:rPr>
        <w:t xml:space="preserve">部门集中采购</w:t>
      </w:r>
      <w:r>
        <w:rPr>
          <w:rFonts w:hint="eastAsia" w:ascii="宋体" w:hAnsi="宋体" w:cs="宋体"/>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分散采购</w:t>
      </w:r>
      <w:r/>
    </w:p>
    <w:p>
      <w:pPr>
        <w:numPr>
          <w:ilvl w:val="255"/>
          <w:numId w:val="0"/>
        </w:numPr>
        <w:ind w:left="0" w:firstLine="480"/>
        <w:jc w:val="left"/>
        <w:keepLines w:val="0"/>
        <w:keepNext w:val="0"/>
        <w:pageBreakBefore w:val="0"/>
        <w:spacing w:line="520" w:lineRule="exact"/>
        <w:widowControl/>
        <w:rPr>
          <w:rFonts w:hint="eastAsia" w:ascii="宋体" w:hAnsi="宋体" w:cs="宋体" w:eastAsiaTheme="minorEastAsia"/>
          <w:sz w:val="24"/>
          <w:szCs w:val="24"/>
          <w:highlight w:val="none"/>
          <w:u w:val="single"/>
          <w:lang w:eastAsia="zh-CN"/>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）政府采购方式：</w:t>
      </w:r>
      <w:r>
        <w:rPr>
          <w:rFonts w:hint="eastAsia" w:ascii="宋体" w:hAnsi="宋体" w:cs="宋体"/>
          <w:color w:val="0000ff"/>
          <w:sz w:val="24"/>
          <w:szCs w:val="24"/>
          <w:highlight w:val="none"/>
          <w:u w:val="single"/>
        </w:rPr>
        <w:t xml:space="preserve">公开招标</w:t>
      </w:r>
      <w:r>
        <w:rPr>
          <w:rFonts w:hint="eastAsia" w:ascii="宋体" w:hAnsi="宋体" w:cs="宋体"/>
          <w:sz w:val="24"/>
          <w:szCs w:val="24"/>
          <w:highlight w:val="none"/>
          <w:lang w:eastAsia="zh-CN"/>
        </w:rPr>
        <w:t xml:space="preserve">。</w:t>
      </w:r>
      <w:r/>
    </w:p>
    <w:p>
      <w:pPr>
        <w:numPr>
          <w:ilvl w:val="255"/>
          <w:numId w:val="0"/>
        </w:numPr>
        <w:ind w:left="0" w:firstLine="480"/>
        <w:jc w:val="left"/>
        <w:keepLines w:val="0"/>
        <w:keepNext w:val="0"/>
        <w:pageBreakBefore w:val="0"/>
        <w:spacing w:line="520" w:lineRule="exact"/>
        <w:widowControl/>
        <w:rPr>
          <w:rFonts w:ascii="宋体" w:hAnsi="宋体"/>
          <w:sz w:val="24"/>
          <w:szCs w:val="24"/>
          <w:highlight w:val="none"/>
        </w:rPr>
      </w:pPr>
      <w:r>
        <w:rPr>
          <w:rFonts w:hint="eastAsia" w:ascii="宋体" w:hAnsi="宋体" w:eastAsia="华文楷体" w:cs="华文楷体"/>
          <w:sz w:val="24"/>
          <w:szCs w:val="24"/>
          <w:highlight w:val="none"/>
        </w:rPr>
        <w:t xml:space="preserve">（</w:t>
      </w:r>
      <w:r>
        <w:rPr>
          <w:rFonts w:hint="eastAsia" w:ascii="宋体" w:hAnsi="宋体" w:eastAsia="华文楷体" w:cs="华文楷体"/>
          <w:sz w:val="24"/>
          <w:szCs w:val="24"/>
          <w:highlight w:val="none"/>
          <w:lang w:val="en-US" w:eastAsia="zh-CN"/>
        </w:rPr>
        <w:t xml:space="preserve">7</w:t>
      </w:r>
      <w:r>
        <w:rPr>
          <w:rFonts w:hint="eastAsia" w:ascii="宋体" w:hAnsi="宋体" w:eastAsia="华文楷体" w:cs="华文楷体"/>
          <w:sz w:val="24"/>
          <w:szCs w:val="24"/>
          <w:highlight w:val="none"/>
        </w:rPr>
        <w:t xml:space="preserve">）</w:t>
      </w:r>
      <w:r>
        <w:rPr>
          <w:rFonts w:hint="eastAsia" w:ascii="宋体" w:hAnsi="宋体"/>
          <w:sz w:val="24"/>
          <w:szCs w:val="24"/>
          <w:highlight w:val="none"/>
        </w:rPr>
        <w:t xml:space="preserve">中标（成交）采购标的制造商是否为中小企业：</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ascii="宋体" w:hAnsi="宋体"/>
          <w:sz w:val="24"/>
          <w:szCs w:val="24"/>
          <w:highlight w:val="none"/>
        </w:rPr>
        <w:t xml:space="preserve"> 本合同是否为专门面向中小企业的采购合同（中小企业预留合同）：</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w:t>
      </w:r>
      <w:r>
        <w:rPr>
          <w:rFonts w:hint="eastAsia" w:ascii="宋体" w:hAnsi="宋体"/>
          <w:iCs/>
          <w:sz w:val="24"/>
          <w:szCs w:val="24"/>
          <w:highlight w:val="none"/>
          <w:lang w:val="en-US" w:eastAsia="zh-CN"/>
        </w:rPr>
        <w:t xml:space="preserve"> </w:t>
      </w:r>
      <w:r>
        <w:rPr>
          <w:rFonts w:hint="eastAsia" w:ascii="宋体" w:hAnsi="宋体"/>
          <w:iCs/>
          <w:color w:val="0000ff"/>
          <w:sz w:val="24"/>
          <w:szCs w:val="24"/>
          <w:highlight w:val="none"/>
        </w:rPr>
        <w:t xml:space="preserve"> </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sz w:val="24"/>
          <w:szCs w:val="24"/>
          <w:highlight w:val="none"/>
        </w:rPr>
        <w:t xml:space="preserve"> 若本项目不专门面向中小企业采购，是否给予小微企业评审优惠：</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是</w:t>
      </w:r>
      <w:r>
        <w:rPr>
          <w:rFonts w:hint="eastAsia" w:ascii="宋体" w:hAnsi="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numPr>
          <w:ilvl w:val="255"/>
          <w:numId w:val="0"/>
        </w:numPr>
        <w:ind w:left="0" w:firstLine="480"/>
        <w:keepLines w:val="0"/>
        <w:keepNext w:val="0"/>
        <w:pageBreakBefore w:val="0"/>
        <w:spacing w:line="520" w:lineRule="exact"/>
        <w:widowControl w:val="off"/>
        <w:rPr>
          <w:rFonts w:ascii="宋体" w:hAnsi="宋体"/>
          <w:iCs/>
          <w:sz w:val="24"/>
          <w:szCs w:val="24"/>
          <w:highlight w:val="none"/>
        </w:rPr>
      </w:pPr>
      <w:r>
        <w:rPr>
          <w:rFonts w:hint="eastAsia"/>
          <w:sz w:val="24"/>
          <w:szCs w:val="24"/>
          <w:highlight w:val="none"/>
        </w:rPr>
        <w:t xml:space="preserve"> 中标（成交）采购标的制造商是否为残疾人福利性单位：</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ind w:left="0" w:firstLine="480"/>
        <w:keepLines w:val="0"/>
        <w:keepNext w:val="0"/>
        <w:pageBreakBefore w:val="0"/>
        <w:spacing w:line="520" w:lineRule="exact"/>
        <w:widowControl w:val="off"/>
        <w:rPr>
          <w:sz w:val="24"/>
          <w:szCs w:val="24"/>
          <w:highlight w:val="none"/>
        </w:rPr>
      </w:pPr>
      <w:r>
        <w:rPr>
          <w:rFonts w:hint="eastAsia"/>
          <w:sz w:val="24"/>
          <w:szCs w:val="24"/>
          <w:highlight w:val="none"/>
        </w:rPr>
        <w:t xml:space="preserve"> 中标（成交）采购标的制造商是否为监狱企业：</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否</w:t>
      </w:r>
      <w:r/>
    </w:p>
    <w:p>
      <w:p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）合同是否分包：</w:t>
      </w:r>
      <w:r>
        <w:rPr>
          <w:rFonts w:ascii="Wingdings" w:hAnsi="Wingdings" w:eastAsia="Wingdings" w:cs="Wingdings"/>
          <w:iCs/>
          <w:sz w:val="24"/>
          <w:szCs w:val="24"/>
          <w:highlight w:val="none"/>
        </w:rPr>
        <w:t xml:space="preserve"></w:t>
      </w:r>
      <w:r>
        <w:rPr>
          <w:rFonts w:hint="eastAsia" w:ascii="宋体" w:hAnsi="宋体"/>
          <w:iCs/>
          <w:sz w:val="24"/>
          <w:szCs w:val="24"/>
          <w:highlight w:val="none"/>
        </w:rPr>
        <w:t xml:space="preserve">是  </w:t>
      </w:r>
      <w:r>
        <w:rPr>
          <w:rFonts w:ascii="Wingdings" w:hAnsi="Wingdings" w:eastAsia="Wingdings" w:cs="Wingdings"/>
          <w:iCs/>
          <w:color w:val="0000ff"/>
          <w:sz w:val="24"/>
          <w:szCs w:val="24"/>
          <w:highlight w:val="none"/>
        </w:rPr>
        <w:t xml:space="preserve">þ</w:t>
      </w:r>
      <w:r>
        <w:rPr>
          <w:rFonts w:hint="eastAsia" w:ascii="宋体" w:hAnsi="宋体"/>
          <w:iCs/>
          <w:color w:val="0000ff"/>
          <w:sz w:val="24"/>
          <w:szCs w:val="24"/>
          <w:highlight w:val="none"/>
        </w:rPr>
        <w:t xml:space="preserve">否</w:t>
      </w:r>
      <w:r/>
    </w:p>
    <w:p>
      <w:pPr>
        <w:numPr>
          <w:ilvl w:val="255"/>
          <w:numId w:val="0"/>
        </w:numPr>
        <w:ind w:left="0" w:firstLine="480"/>
        <w:keepLines w:val="0"/>
        <w:keepNext w:val="0"/>
        <w:pageBreakBefore w:val="0"/>
        <w:spacing w:line="520" w:lineRule="exact"/>
        <w:rPr>
          <w:rFonts w:ascii="宋体" w:hAnsi="宋体" w:cs="宋体"/>
          <w:iCs/>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是</w:t>
      </w:r>
      <w:r>
        <w:rPr>
          <w:rFonts w:hint="eastAsia" w:ascii="宋体" w:hAnsi="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否</w:t>
      </w:r>
      <w:r/>
    </w:p>
    <w:p>
      <w:pPr>
        <w:ind w:left="0" w:firstLine="480"/>
        <w:jc w:val="left"/>
        <w:keepLines w:val="0"/>
        <w:keepNext w:val="0"/>
        <w:pageBreakBefore w:val="0"/>
        <w:spacing w:line="520" w:lineRule="exact"/>
        <w:widowControl/>
        <w:tabs>
          <w:tab w:val="left" w:pos="1340" w:leader="none"/>
        </w:tabs>
        <w:rPr>
          <w:rFonts w:ascii="宋体" w:hAnsi="宋体" w:cs="宋体"/>
          <w:sz w:val="24"/>
          <w:szCs w:val="24"/>
          <w:highlight w:val="none"/>
          <w:u w:val="single"/>
        </w:rPr>
      </w:pPr>
      <w:r>
        <w:rPr>
          <w:rFonts w:hint="eastAsia" w:ascii="宋体" w:hAnsi="宋体" w:cs="宋体"/>
          <w:sz w:val="24"/>
          <w:szCs w:val="24"/>
          <w:highlight w:val="none"/>
        </w:rPr>
        <w:t xml:space="preserve">     外商投资企业类型：</w:t>
      </w:r>
      <w:r>
        <w:rPr>
          <w:rFonts w:ascii="Wingdings" w:hAnsi="Wingdings" w:eastAsia="Wingdings" w:cs="Wingdings"/>
          <w:iCs/>
          <w:sz w:val="24"/>
          <w:szCs w:val="24"/>
          <w:highlight w:val="none"/>
        </w:rPr>
        <w:t xml:space="preserve"></w:t>
      </w:r>
      <w:r>
        <w:rPr>
          <w:rFonts w:hint="eastAsia" w:ascii="宋体" w:hAnsi="宋体" w:cs="宋体"/>
          <w:sz w:val="24"/>
          <w:szCs w:val="24"/>
          <w:highlight w:val="none"/>
        </w:rPr>
        <w:t xml:space="preserve">全部由外国投资者投资  </w:t>
      </w:r>
      <w:r>
        <w:rPr>
          <w:rFonts w:ascii="Wingdings" w:hAnsi="Wingdings" w:eastAsia="Wingdings" w:cs="Wingdings"/>
          <w:iCs/>
          <w:sz w:val="24"/>
          <w:szCs w:val="24"/>
          <w:highlight w:val="none"/>
        </w:rPr>
        <w:t xml:space="preserve"></w:t>
      </w:r>
      <w:r>
        <w:rPr>
          <w:rFonts w:hint="eastAsia" w:ascii="宋体" w:hAnsi="宋体" w:cs="宋体"/>
          <w:iCs/>
          <w:sz w:val="24"/>
          <w:szCs w:val="24"/>
          <w:highlight w:val="none"/>
        </w:rPr>
        <w:t xml:space="preserve">部分由外国投资者投资</w:t>
      </w:r>
      <w:r/>
    </w:p>
    <w:p>
      <w:pPr>
        <w:numPr>
          <w:ilvl w:val="255"/>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）是否涉及进口产品：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p>
    <w:p>
      <w:pPr>
        <w:numPr>
          <w:ilvl w:val="255"/>
          <w:numId w:val="0"/>
        </w:numPr>
        <w:ind w:left="0" w:firstLine="480"/>
        <w:keepLines w:val="0"/>
        <w:keepNext w:val="0"/>
        <w:pageBreakBefore w:val="0"/>
        <w:spacing w:line="520" w:lineRule="exact"/>
        <w:tabs>
          <w:tab w:val="left" w:pos="740" w:leader="none"/>
        </w:tabs>
        <w:rPr>
          <w:rFonts w:hint="eastAsia" w:ascii="宋体" w:hAnsi="宋体" w:cs="华文楷体" w:eastAsiaTheme="minorEastAsia"/>
          <w:sz w:val="24"/>
          <w:szCs w:val="24"/>
          <w:highlight w:val="none"/>
          <w:lang w:eastAsia="zh-CN"/>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）是否涉及节能产品：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是否涉及环境标志产品：</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是否涉及绿色产品</w:t>
      </w:r>
      <w:r>
        <w:rPr>
          <w:rFonts w:hint="eastAsia" w:ascii="宋体" w:hAnsi="宋体"/>
          <w:color w:val="0000ff"/>
          <w:sz w:val="24"/>
          <w:szCs w:val="24"/>
          <w:highlight w:val="none"/>
        </w:rPr>
        <w:t xml:space="preserve">：</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否</w:t>
      </w:r>
      <w:r>
        <w:rPr>
          <w:rFonts w:hint="eastAsia" w:ascii="宋体" w:hAnsi="宋体"/>
          <w:sz w:val="24"/>
          <w:szCs w:val="24"/>
          <w:highlight w:val="none"/>
          <w:lang w:eastAsia="zh-CN"/>
        </w:rPr>
        <w:t xml:space="preserve">。</w:t>
      </w:r>
      <w:r/>
    </w:p>
    <w:p>
      <w:pPr>
        <w:numPr>
          <w:ilvl w:val="255"/>
          <w:numId w:val="0"/>
        </w:numPr>
        <w:ind w:left="0" w:firstLine="480"/>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）涉及商品包装和快递包装的，是否参考《商品包装政府采购需求标准（试行）</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快递包装政府采购需求标准（试行）》明确产品及相关快递服务的具体包装要求：</w:t>
      </w:r>
      <w:r>
        <w:rPr>
          <w:rFonts w:ascii="Wingdings" w:hAnsi="Wingdings" w:eastAsia="Wingdings" w:cs="Wingdings"/>
          <w:color w:val="0000ff"/>
          <w:sz w:val="24"/>
          <w:szCs w:val="24"/>
          <w:highlight w:val="none"/>
        </w:rPr>
        <w:t xml:space="preserve">þ</w:t>
      </w:r>
      <w:r>
        <w:rPr>
          <w:rFonts w:hint="eastAsia" w:ascii="宋体" w:hAnsi="宋体"/>
          <w:color w:val="0000ff"/>
          <w:sz w:val="24"/>
          <w:szCs w:val="24"/>
          <w:highlight w:val="none"/>
        </w:rPr>
        <w:t xml:space="preserve">不涉及</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2.</w:t>
      </w:r>
      <w:r>
        <w:rPr>
          <w:rFonts w:hint="eastAsia" w:ascii="宋体" w:hAnsi="宋体"/>
          <w:b/>
          <w:sz w:val="24"/>
          <w:szCs w:val="24"/>
          <w:highlight w:val="none"/>
        </w:rPr>
        <w:t xml:space="preserve">合同金额</w:t>
      </w:r>
      <w:r/>
    </w:p>
    <w:p>
      <w:pPr>
        <w:ind w:left="0" w:firstLine="480"/>
        <w:keepLines w:val="0"/>
        <w:keepNext w:val="0"/>
        <w:pageBreakBefore w:val="0"/>
        <w:spacing w:line="520" w:lineRule="exact"/>
        <w:rPr>
          <w:rFonts w:ascii="宋体" w:hAnsi="宋体"/>
          <w:color w:val="0000ff"/>
          <w:sz w:val="24"/>
          <w:szCs w:val="24"/>
          <w:highlight w:val="none"/>
          <w:u w:val="single"/>
        </w:rPr>
      </w:pPr>
      <w:r>
        <w:rPr>
          <w:rFonts w:hint="eastAsia" w:ascii="宋体" w:hAnsi="宋体"/>
          <w:sz w:val="24"/>
          <w:szCs w:val="24"/>
          <w:highlight w:val="none"/>
        </w:rPr>
        <w:t xml:space="preserve">（1）合同金额小写：</w:t>
      </w:r>
      <w:r>
        <w:rPr>
          <w:rFonts w:hint="eastAsia" w:ascii="宋体" w:hAnsi="宋体"/>
          <w:color w:val="0000ff"/>
          <w:sz w:val="24"/>
          <w:szCs w:val="24"/>
          <w:highlight w:val="none"/>
          <w:u w:val="single"/>
          <w:lang w:val="en-US" w:eastAsia="zh-CN"/>
        </w:rPr>
        <w:t xml:space="preserve">¥1192000.00</w:t>
      </w:r>
      <w:r>
        <w:rPr>
          <w:rFonts w:hint="eastAsia" w:ascii="宋体" w:hAnsi="宋体"/>
          <w:sz w:val="24"/>
          <w:szCs w:val="24"/>
          <w:highlight w:val="none"/>
        </w:rPr>
        <w:t xml:space="preserve">大写：</w:t>
      </w:r>
      <w:r>
        <w:rPr>
          <w:rFonts w:hint="eastAsia" w:ascii="宋体" w:hAnsi="宋体"/>
          <w:color w:val="0000ff"/>
          <w:sz w:val="24"/>
          <w:szCs w:val="24"/>
          <w:highlight w:val="none"/>
          <w:u w:val="single"/>
          <w:lang w:val="en-US" w:eastAsia="zh-CN"/>
        </w:rPr>
        <w:t xml:space="preserve">人民币壹佰壹拾玖万贰仟元整；最终结算金额按实际合格供应数量×应结算单价据实核算，项目累计最终结算总额不得高于最高限价。</w:t>
      </w:r>
      <w:r/>
    </w:p>
    <w:p>
      <w:pPr>
        <w:ind w:left="0" w:firstLine="480"/>
        <w:jc w:val="both"/>
        <w:keepLines w:val="0"/>
        <w:keepNext w:val="0"/>
        <w:pageBreakBefore w:val="0"/>
        <w:spacing w:line="520" w:lineRule="exact"/>
        <w:rPr>
          <w:rFonts w:ascii="宋体" w:hAnsi="宋体"/>
          <w:sz w:val="24"/>
          <w:szCs w:val="24"/>
          <w:highlight w:val="none"/>
        </w:rPr>
      </w:pPr>
      <w:r>
        <w:rPr>
          <w:rFonts w:hint="eastAsia" w:ascii="宋体" w:hAnsi="宋体"/>
          <w:sz w:val="24"/>
          <w:szCs w:val="24"/>
          <w:highlight w:val="none"/>
        </w:rPr>
        <w:t xml:space="preserve">（2）付款方式（按项目实际勾选填写，具体详见专用条款第二节第12.2款）：</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rPr>
        <w:t xml:space="preserve">分期付款：</w:t>
      </w:r>
      <w:r>
        <w:rPr>
          <w:rFonts w:hint="eastAsia" w:ascii="宋体" w:hAnsi="宋体"/>
          <w:color w:val="2b2bff"/>
          <w:sz w:val="24"/>
          <w:szCs w:val="24"/>
          <w:highlight w:val="none"/>
          <w:u w:val="single"/>
        </w:rPr>
        <w:t xml:space="preserve">预付款：合同签订且乙方缴纳履约保证金后，甲方支付最高限价×3</w:t>
      </w:r>
      <w:r>
        <w:rPr>
          <w:rFonts w:hint="eastAsia" w:ascii="宋体" w:hAnsi="宋体"/>
          <w:b w:val="0"/>
          <w:bCs w:val="0"/>
          <w:color w:val="2b2bff"/>
          <w:sz w:val="24"/>
          <w:szCs w:val="24"/>
          <w:highlight w:val="none"/>
          <w:u w:val="single"/>
        </w:rPr>
        <w:t xml:space="preserve">0</w:t>
      </w:r>
      <w:r>
        <w:rPr>
          <w:rFonts w:hint="eastAsia" w:ascii="宋体" w:hAnsi="宋体"/>
          <w:color w:val="2b2bff"/>
          <w:sz w:val="24"/>
          <w:szCs w:val="24"/>
          <w:highlight w:val="none"/>
          <w:u w:val="single"/>
        </w:rPr>
        <w:t xml:space="preserve">%作为预付款。在签订合同时，中标、成交供应商明确书面表示无需预付款或者主动要求降低预付款比例的，采购人可就预付款比例作相应调整。</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进度款：甲乙双方按月核对当期实际供应油品的数量、金额，甲方按季度支付已核对确认的累计结算款项。</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尾款：项目最后一次供应完成并验收合格后，甲方从应付结算总金额中一次性扣除已支付预付款，按剩余余额完成最终支付。</w:t>
      </w:r>
      <w:r/>
    </w:p>
    <w:p>
      <w:pPr>
        <w:ind w:left="0" w:firstLine="480"/>
        <w:keepLines w:val="0"/>
        <w:keepNext w:val="0"/>
        <w:pageBreakBefore w:val="0"/>
        <w:spacing w:line="520" w:lineRule="exact"/>
        <w:rPr>
          <w:rFonts w:hint="eastAsia" w:ascii="宋体" w:hAnsi="宋体"/>
          <w:color w:val="2b2bff"/>
          <w:sz w:val="24"/>
          <w:szCs w:val="24"/>
          <w:highlight w:val="none"/>
          <w:u w:val="single"/>
        </w:rPr>
      </w:pPr>
      <w:r>
        <w:rPr>
          <w:rFonts w:hint="eastAsia" w:ascii="宋体" w:hAnsi="宋体"/>
          <w:color w:val="2b2bff"/>
          <w:sz w:val="24"/>
          <w:szCs w:val="24"/>
          <w:highlight w:val="none"/>
          <w:u w:val="single"/>
        </w:rPr>
        <w:t xml:space="preserve">付款要求：乙方每次申请付款前，须向甲方提供合法有效的增值税发票及当期供应验收单、结算单等付款凭证。</w:t>
      </w:r>
      <w:r/>
    </w:p>
    <w:p>
      <w:pPr>
        <w:ind w:left="0"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numPr>
          <w:ilvl w:val="0"/>
          <w:numId w:val="0"/>
        </w:numPr>
        <w:ind w:left="0" w:firstLine="480"/>
        <w:keepLines w:val="0"/>
        <w:keepNext w:val="0"/>
        <w:pageBreakBefore w:val="0"/>
        <w:spacing w:line="520" w:lineRule="exact"/>
        <w:rPr>
          <w:rFonts w:ascii="宋体" w:hAnsi="宋体"/>
          <w:b/>
          <w:sz w:val="24"/>
          <w:szCs w:val="24"/>
          <w:highlight w:val="none"/>
          <w:u w:val="single"/>
        </w:rPr>
      </w:pPr>
      <w:r>
        <w:rPr>
          <w:rFonts w:ascii="宋体" w:hAnsi="宋体" w:eastAsiaTheme="minorEastAsia" w:cstheme="minorBidi"/>
          <w:b/>
          <w:sz w:val="24"/>
          <w:szCs w:val="24"/>
          <w:lang w:val="en-US" w:eastAsia="zh-CN" w:bidi="ar-SA"/>
        </w:rPr>
        <w:t xml:space="preserve">3.</w:t>
      </w:r>
      <w:r>
        <w:rPr>
          <w:rFonts w:hint="eastAsia" w:ascii="宋体" w:hAnsi="宋体"/>
          <w:b/>
          <w:sz w:val="24"/>
          <w:szCs w:val="24"/>
          <w:highlight w:val="none"/>
        </w:rPr>
        <w:t xml:space="preserve">合同履行</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（1）起始日期：</w:t>
      </w:r>
      <w:r>
        <w:rPr>
          <w:rFonts w:hint="eastAsia" w:ascii="宋体" w:hAnsi="宋体" w:cs="宋体"/>
          <w:color w:val="2b2bff"/>
          <w:sz w:val="24"/>
          <w:szCs w:val="24"/>
          <w:highlight w:val="none"/>
          <w:u w:val="single"/>
          <w:lang w:val="en-US" w:eastAsia="zh-CN"/>
        </w:rPr>
        <w:t xml:space="preserve">2026</w:t>
      </w:r>
      <w:r>
        <w:rPr>
          <w:rFonts w:hint="eastAsia" w:ascii="宋体" w:hAnsi="宋体" w:cs="宋体"/>
          <w:color w:val="2b2bff"/>
          <w:sz w:val="24"/>
          <w:szCs w:val="24"/>
          <w:highlight w:val="none"/>
        </w:rPr>
        <w:t xml:space="preserve">年</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月</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日</w:t>
      </w:r>
      <w:r>
        <w:rPr>
          <w:rFonts w:hint="eastAsia" w:ascii="宋体" w:hAnsi="宋体" w:cs="宋体"/>
          <w:sz w:val="24"/>
          <w:szCs w:val="24"/>
          <w:highlight w:val="none"/>
        </w:rPr>
        <w:t xml:space="preserve">，完成日期：</w:t>
      </w:r>
      <w:r>
        <w:rPr>
          <w:rFonts w:hint="eastAsia" w:ascii="宋体" w:hAnsi="宋体" w:cs="宋体"/>
          <w:color w:val="2b2bff"/>
          <w:sz w:val="24"/>
          <w:szCs w:val="24"/>
          <w:highlight w:val="none"/>
          <w:u w:val="single"/>
          <w:lang w:val="en-US" w:eastAsia="zh-CN"/>
        </w:rPr>
        <w:t xml:space="preserve">2026</w:t>
      </w:r>
      <w:r>
        <w:rPr>
          <w:rFonts w:hint="eastAsia" w:ascii="宋体" w:hAnsi="宋体" w:cs="宋体"/>
          <w:color w:val="2b2bff"/>
          <w:sz w:val="24"/>
          <w:szCs w:val="24"/>
          <w:highlight w:val="none"/>
        </w:rPr>
        <w:t xml:space="preserve">年</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月</w:t>
      </w:r>
      <w:r>
        <w:rPr>
          <w:rFonts w:hint="eastAsia" w:ascii="宋体" w:hAnsi="宋体" w:cs="宋体"/>
          <w:color w:val="2b2bff"/>
          <w:sz w:val="24"/>
          <w:szCs w:val="24"/>
          <w:highlight w:val="none"/>
          <w:u w:val="single"/>
        </w:rPr>
        <w:t xml:space="preserve">   </w:t>
      </w:r>
      <w:r>
        <w:rPr>
          <w:rFonts w:hint="eastAsia" w:ascii="宋体" w:hAnsi="宋体" w:cs="宋体"/>
          <w:color w:val="2b2bff"/>
          <w:sz w:val="24"/>
          <w:szCs w:val="24"/>
          <w:highlight w:val="none"/>
        </w:rPr>
        <w:t xml:space="preserve">日</w:t>
      </w:r>
      <w:r>
        <w:rPr>
          <w:rFonts w:hint="eastAsia" w:ascii="宋体" w:hAnsi="宋体" w:cs="宋体"/>
          <w:sz w:val="24"/>
          <w:szCs w:val="24"/>
          <w:highlight w:val="none"/>
        </w:rPr>
        <w:t xml:space="preserve">。</w:t>
      </w:r>
      <w:r/>
    </w:p>
    <w:p>
      <w:pPr>
        <w:ind w:left="0" w:firstLine="480"/>
        <w:keepLines w:val="0"/>
        <w:keepNext w:val="0"/>
        <w:pageBreakBefore w:val="0"/>
        <w:spacing w:line="520" w:lineRule="exact"/>
        <w:rPr>
          <w:rFonts w:ascii="宋体" w:hAnsi="宋体" w:cs="宋体"/>
          <w:sz w:val="24"/>
          <w:szCs w:val="24"/>
          <w:highlight w:val="none"/>
          <w:u w:val="single"/>
        </w:rPr>
      </w:pPr>
      <w:r>
        <w:rPr>
          <w:rFonts w:hint="eastAsia" w:ascii="宋体" w:hAnsi="宋体" w:cs="宋体"/>
          <w:sz w:val="24"/>
          <w:szCs w:val="24"/>
          <w:highlight w:val="none"/>
        </w:rPr>
        <w:t xml:space="preserve">（2）履约地点</w:t>
      </w:r>
      <w:r>
        <w:rPr>
          <w:rFonts w:hint="eastAsia" w:ascii="宋体" w:hAnsi="宋体" w:cs="宋体"/>
          <w:bCs/>
          <w:sz w:val="24"/>
          <w:szCs w:val="24"/>
          <w:highlight w:val="none"/>
        </w:rPr>
        <w:t xml:space="preserve">：</w:t>
      </w:r>
      <w:r>
        <w:rPr>
          <w:rFonts w:hint="eastAsia" w:ascii="宋体" w:hAnsi="宋体" w:cs="宋体"/>
          <w:bCs/>
          <w:color w:val="2b2bff"/>
          <w:sz w:val="24"/>
          <w:szCs w:val="24"/>
          <w:highlight w:val="none"/>
          <w:u w:val="single"/>
        </w:rPr>
        <w:t xml:space="preserve">江苏省盐城市滨海县境内（采购人指定地点）</w:t>
      </w:r>
      <w:r>
        <w:rPr>
          <w:rFonts w:hint="eastAsia" w:ascii="宋体" w:hAnsi="宋体" w:cs="宋体"/>
          <w:bCs/>
          <w:sz w:val="24"/>
          <w:szCs w:val="24"/>
          <w:highlight w:val="none"/>
        </w:rPr>
        <w:t xml:space="preserve">  </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bCs/>
          <w:sz w:val="24"/>
          <w:szCs w:val="24"/>
          <w:highlight w:val="none"/>
        </w:rPr>
        <w:t xml:space="preserve">（3）</w:t>
      </w:r>
      <w:r>
        <w:rPr>
          <w:rFonts w:hint="eastAsia" w:ascii="宋体" w:hAnsi="宋体" w:cs="宋体"/>
          <w:sz w:val="24"/>
          <w:szCs w:val="24"/>
          <w:highlight w:val="none"/>
        </w:rPr>
        <w:t xml:space="preserve">履约担保：履约担保：是否收取履约保证金：</w:t>
      </w:r>
      <w:r>
        <w:rPr>
          <w:rFonts w:ascii="Wingdings" w:hAnsi="Wingdings" w:eastAsia="Wingdings" w:cs="Wingdings"/>
          <w:color w:val="0000ff"/>
          <w:sz w:val="24"/>
          <w:szCs w:val="24"/>
          <w:highlight w:val="none"/>
        </w:rPr>
        <w:t xml:space="preserve">þ</w:t>
      </w:r>
      <w:r>
        <w:rPr>
          <w:rFonts w:hint="eastAsia" w:ascii="宋体" w:hAnsi="宋体" w:cs="宋体"/>
          <w:color w:val="0000ff"/>
          <w:sz w:val="24"/>
          <w:szCs w:val="24"/>
          <w:highlight w:val="none"/>
        </w:rPr>
        <w:t xml:space="preserve">是</w:t>
      </w:r>
      <w:r>
        <w:rPr>
          <w:rFonts w:hint="eastAsia" w:ascii="宋体" w:hAnsi="宋体" w:cs="宋体"/>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否</w:t>
      </w:r>
      <w:r/>
    </w:p>
    <w:p>
      <w:pPr>
        <w:ind w:left="0" w:firstLine="480"/>
        <w:keepLines w:val="0"/>
        <w:keepNext w:val="0"/>
        <w:pageBreakBefore w:val="0"/>
        <w:spacing w:line="520" w:lineRule="exact"/>
        <w:rPr>
          <w:rFonts w:hint="eastAsia" w:ascii="宋体" w:hAnsi="宋体" w:cs="宋体" w:eastAsiaTheme="minorEastAsia"/>
          <w:bCs/>
          <w:sz w:val="24"/>
          <w:szCs w:val="24"/>
          <w:highlight w:val="none"/>
          <w:u w:val="single"/>
          <w:lang w:eastAsia="zh-CN"/>
        </w:rPr>
      </w:pPr>
      <w:r>
        <w:rPr>
          <w:rFonts w:hint="eastAsia" w:ascii="宋体" w:hAnsi="宋体" w:cs="宋体"/>
          <w:sz w:val="24"/>
          <w:szCs w:val="24"/>
          <w:highlight w:val="none"/>
        </w:rPr>
        <w:t xml:space="preserve">     收取履约保证金形式：</w:t>
      </w:r>
      <w:r>
        <w:rPr>
          <w:rFonts w:hint="eastAsia" w:ascii="宋体" w:hAnsi="宋体" w:cs="宋体"/>
          <w:bCs/>
          <w:color w:val="0000ff"/>
          <w:sz w:val="24"/>
          <w:szCs w:val="24"/>
          <w:highlight w:val="none"/>
          <w:u w:val="single"/>
        </w:rPr>
        <w:t xml:space="preserve">支票、汇票、本票、金融/担保机构保函</w:t>
      </w:r>
      <w:r>
        <w:rPr>
          <w:rFonts w:hint="eastAsia" w:ascii="宋体" w:hAnsi="宋体" w:cs="宋体"/>
          <w:bCs/>
          <w:color w:val="0000ff"/>
          <w:sz w:val="24"/>
          <w:szCs w:val="24"/>
          <w:highlight w:val="none"/>
          <w:u w:val="single"/>
          <w:lang w:eastAsia="zh-CN"/>
        </w:rPr>
        <w:t xml:space="preserve">（非现金形式）</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sz w:val="24"/>
          <w:szCs w:val="24"/>
          <w:highlight w:val="none"/>
        </w:rPr>
        <w:t xml:space="preserve">     收取履约保证金金额：</w:t>
      </w:r>
      <w:r>
        <w:rPr>
          <w:rFonts w:hint="eastAsia" w:ascii="宋体" w:hAnsi="宋体" w:cs="宋体"/>
          <w:color w:val="0000ff"/>
          <w:sz w:val="24"/>
          <w:szCs w:val="24"/>
          <w:highlight w:val="none"/>
          <w:u w:val="single"/>
          <w:lang w:eastAsia="zh-CN"/>
        </w:rPr>
        <w:t xml:space="preserve">（</w:t>
      </w:r>
      <w:r>
        <w:rPr>
          <w:rFonts w:hint="eastAsia" w:ascii="宋体" w:hAnsi="宋体" w:cs="宋体"/>
          <w:bCs/>
          <w:color w:val="0000ff"/>
          <w:sz w:val="24"/>
          <w:szCs w:val="24"/>
          <w:highlight w:val="none"/>
          <w:u w:val="single"/>
        </w:rPr>
        <w:t xml:space="preserve">不超过合同金额的10% </w:t>
      </w:r>
      <w:r>
        <w:rPr>
          <w:rFonts w:hint="eastAsia" w:ascii="宋体" w:hAnsi="宋体" w:cs="宋体"/>
          <w:color w:val="0000ff"/>
          <w:sz w:val="24"/>
          <w:szCs w:val="24"/>
          <w:highlight w:val="none"/>
          <w:u w:val="single"/>
          <w:lang w:eastAsia="zh-CN"/>
        </w:rPr>
        <w:t xml:space="preserve">）</w:t>
      </w:r>
      <w:r>
        <w:rPr>
          <w:rFonts w:hint="eastAsia" w:ascii="宋体" w:hAnsi="宋体" w:cs="宋体"/>
          <w:sz w:val="24"/>
          <w:szCs w:val="24"/>
          <w:highlight w:val="none"/>
        </w:rPr>
        <w:t xml:space="preserve">         </w:t>
      </w:r>
      <w:r/>
    </w:p>
    <w:p>
      <w:pPr>
        <w:ind w:left="0" w:firstLine="480"/>
        <w:keepLines w:val="0"/>
        <w:keepNext w:val="0"/>
        <w:pageBreakBefore w:val="0"/>
        <w:spacing w:line="520" w:lineRule="exact"/>
        <w:rPr>
          <w:rFonts w:hint="eastAsia" w:ascii="宋体" w:hAnsi="宋体" w:cs="宋体" w:eastAsiaTheme="minorEastAsia"/>
          <w:bCs/>
          <w:sz w:val="24"/>
          <w:szCs w:val="24"/>
          <w:highlight w:val="none"/>
          <w:u w:val="single"/>
          <w:lang w:eastAsia="zh-CN"/>
        </w:rPr>
      </w:pPr>
      <w:r>
        <w:rPr>
          <w:rFonts w:hint="eastAsia" w:ascii="宋体" w:hAnsi="宋体" w:cs="宋体"/>
          <w:sz w:val="24"/>
          <w:szCs w:val="24"/>
          <w:highlight w:val="none"/>
        </w:rPr>
        <w:t xml:space="preserve">     履约担保期限：</w:t>
      </w:r>
      <w:r>
        <w:rPr>
          <w:rFonts w:hint="eastAsia" w:ascii="宋体" w:hAnsi="宋体" w:cs="宋体"/>
          <w:bCs/>
          <w:color w:val="0000ff"/>
          <w:sz w:val="24"/>
          <w:szCs w:val="24"/>
          <w:highlight w:val="none"/>
          <w:u w:val="single"/>
          <w:lang w:eastAsia="zh-CN"/>
        </w:rPr>
        <w:t xml:space="preserve">（</w:t>
      </w:r>
      <w:r>
        <w:rPr>
          <w:rFonts w:hint="eastAsia" w:ascii="宋体" w:hAnsi="宋体" w:cs="宋体"/>
          <w:bCs/>
          <w:color w:val="0000ff"/>
          <w:sz w:val="24"/>
          <w:szCs w:val="24"/>
          <w:highlight w:val="none"/>
          <w:u w:val="single"/>
          <w:lang w:val="en-US" w:eastAsia="zh-CN"/>
        </w:rPr>
        <w:t xml:space="preserve">至少覆盖合同履约时间</w:t>
      </w:r>
      <w:r>
        <w:rPr>
          <w:rFonts w:hint="eastAsia" w:ascii="宋体" w:hAnsi="宋体" w:cs="宋体"/>
          <w:bCs/>
          <w:color w:val="0000ff"/>
          <w:sz w:val="24"/>
          <w:szCs w:val="24"/>
          <w:highlight w:val="none"/>
          <w:u w:val="single"/>
          <w:lang w:eastAsia="zh-CN"/>
        </w:rPr>
        <w:t xml:space="preserve">）</w:t>
      </w:r>
      <w:r/>
    </w:p>
    <w:p>
      <w:pPr>
        <w:numPr>
          <w:ilvl w:val="0"/>
          <w:numId w:val="0"/>
        </w:numPr>
        <w:ind w:left="0" w:firstLine="480"/>
        <w:keepLines w:val="0"/>
        <w:keepNext w:val="0"/>
        <w:pageBreakBefore w:val="0"/>
        <w:spacing w:line="520" w:lineRule="exact"/>
        <w:rPr>
          <w:rFonts w:ascii="宋体" w:hAnsi="宋体" w:cs="宋体"/>
          <w:bCs/>
          <w:color w:val="auto"/>
          <w:sz w:val="24"/>
          <w:szCs w:val="24"/>
          <w:highlight w:val="none"/>
        </w:rPr>
      </w:pPr>
      <w:r>
        <w:rPr>
          <w:rFonts w:ascii="宋体" w:hAnsi="宋体" w:cs="宋体" w:eastAsiaTheme="minorEastAsia"/>
          <w:bCs/>
          <w:color w:val="auto"/>
          <w:sz w:val="24"/>
          <w:szCs w:val="24"/>
          <w:lang w:val="en-US" w:eastAsia="zh-CN" w:bidi="ar-SA"/>
        </w:rPr>
        <w:t xml:space="preserve">（4）</w:t>
      </w:r>
      <w:r>
        <w:rPr>
          <w:rFonts w:hint="eastAsia" w:ascii="宋体" w:hAnsi="宋体" w:cs="宋体"/>
          <w:bCs/>
          <w:color w:val="auto"/>
          <w:sz w:val="24"/>
          <w:szCs w:val="24"/>
          <w:highlight w:val="none"/>
        </w:rPr>
        <w:t xml:space="preserve">确需收取履约保证金的，履约保证金的缴纳形式：</w:t>
      </w:r>
      <w:r/>
    </w:p>
    <w:p>
      <w:pPr>
        <w:ind w:left="0"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cs="宋体"/>
          <w:bCs/>
          <w:color w:val="auto"/>
          <w:sz w:val="24"/>
          <w:szCs w:val="24"/>
          <w:highlight w:val="none"/>
        </w:rPr>
        <w:t xml:space="preserve"> 如以履约保函（保险）形式缴纳履约保证金，供应商可通过政府采购电子履约保函（保险）平台（www.jsdzbh.com）在线申请履约保函（保险）。</w:t>
      </w:r>
      <w:r>
        <w:rPr>
          <w:rFonts w:hint="eastAsia" w:ascii="宋体" w:hAnsi="宋体" w:cs="宋体"/>
          <w:color w:val="auto"/>
          <w:sz w:val="24"/>
          <w:szCs w:val="24"/>
          <w:highlight w:val="none"/>
        </w:rPr>
        <w:t xml:space="preserve">  </w:t>
      </w:r>
      <w:r>
        <w:rPr>
          <w:rFonts w:hint="eastAsia" w:ascii="宋体" w:hAnsi="宋体" w:cs="宋体"/>
          <w:sz w:val="24"/>
          <w:szCs w:val="24"/>
          <w:highlight w:val="none"/>
        </w:rPr>
        <w:t xml:space="preserve">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4.</w:t>
      </w:r>
      <w:r>
        <w:rPr>
          <w:rFonts w:hint="eastAsia" w:ascii="宋体" w:hAnsi="宋体"/>
          <w:b/>
          <w:sz w:val="24"/>
          <w:szCs w:val="24"/>
          <w:highlight w:val="none"/>
        </w:rPr>
        <w:t xml:space="preserve">合同验收</w:t>
      </w:r>
      <w:r/>
    </w:p>
    <w:p>
      <w:pPr>
        <w:numPr>
          <w:ilvl w:val="0"/>
          <w:numId w:val="1"/>
        </w:num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验收组织方式：</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自行组织</w:t>
      </w:r>
      <w:r>
        <w:rPr>
          <w:rFonts w:hint="eastAsia" w:ascii="宋体" w:hAnsi="宋体"/>
          <w:bCs/>
          <w:sz w:val="24"/>
          <w:szCs w:val="24"/>
          <w:highlight w:val="none"/>
        </w:rPr>
        <w:t xml:space="preserve"> </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委托第三方组织</w:t>
      </w:r>
      <w:r/>
    </w:p>
    <w:p>
      <w:pPr>
        <w:ind w:left="0" w:firstLine="480"/>
        <w:keepLines w:val="0"/>
        <w:keepNext w:val="0"/>
        <w:pageBreakBefore w:val="0"/>
        <w:spacing w:line="520" w:lineRule="exact"/>
        <w:rPr>
          <w:rFonts w:ascii="宋体" w:hAnsi="宋体" w:cs="宋体"/>
          <w:sz w:val="24"/>
          <w:szCs w:val="24"/>
          <w:highlight w:val="none"/>
        </w:rPr>
      </w:pPr>
      <w:r>
        <w:rPr>
          <w:rFonts w:hint="eastAsia" w:ascii="宋体" w:hAnsi="宋体"/>
          <w:bCs/>
          <w:sz w:val="24"/>
          <w:szCs w:val="24"/>
          <w:highlight w:val="none"/>
        </w:rPr>
        <w:t xml:space="preserve">验收主体：</w:t>
      </w:r>
      <w:r>
        <w:rPr>
          <w:rFonts w:hint="eastAsia" w:ascii="宋体" w:hAnsi="宋体" w:cs="宋体"/>
          <w:color w:val="0000ff"/>
          <w:sz w:val="24"/>
          <w:szCs w:val="24"/>
          <w:highlight w:val="none"/>
          <w:u w:val="single"/>
        </w:rPr>
        <w:t xml:space="preserve">滨海县农业综合行政执法大队</w:t>
      </w:r>
      <w:r>
        <w:rPr>
          <w:rFonts w:hint="eastAsia" w:ascii="宋体" w:hAnsi="宋体" w:cs="宋体"/>
          <w:sz w:val="24"/>
          <w:szCs w:val="24"/>
          <w:highlight w:val="none"/>
        </w:rPr>
        <w:t xml:space="preserve"> </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是否邀请本项目的其他供应商参加验收：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是否邀请专家参加验收：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是否邀请服务对象参加验收：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是否邀请第三方检测机构参加验收：</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是否进行抽查检测：</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是</w:t>
      </w:r>
      <w:r>
        <w:rPr>
          <w:rFonts w:hint="eastAsia" w:ascii="宋体" w:hAnsi="宋体"/>
          <w:bCs/>
          <w:sz w:val="24"/>
          <w:szCs w:val="24"/>
          <w:highlight w:val="none"/>
        </w:rPr>
        <w:t xml:space="preserve">，抽查比例：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否</w:t>
      </w:r>
      <w:r/>
    </w:p>
    <w:p>
      <w:pPr>
        <w:ind w:left="0" w:firstLine="480"/>
        <w:keepLines w:val="0"/>
        <w:keepNext w:val="0"/>
        <w:pageBreakBefore w:val="0"/>
        <w:spacing w:line="520" w:lineRule="exact"/>
        <w:rPr>
          <w:rFonts w:hint="eastAsia" w:ascii="宋体" w:hAnsi="宋体" w:eastAsiaTheme="minorEastAsia"/>
          <w:bCs/>
          <w:sz w:val="24"/>
          <w:szCs w:val="24"/>
          <w:highlight w:val="none"/>
          <w:lang w:eastAsia="zh-CN"/>
        </w:rPr>
      </w:pPr>
      <w:r>
        <w:rPr>
          <w:rFonts w:hint="eastAsia" w:ascii="宋体" w:hAnsi="宋体"/>
          <w:bCs/>
          <w:sz w:val="24"/>
          <w:szCs w:val="24"/>
          <w:highlight w:val="none"/>
        </w:rPr>
        <w:t xml:space="preserve">是否存在破坏性检测：</w:t>
      </w:r>
      <w:r>
        <w:rPr>
          <w:rFonts w:ascii="Wingdings" w:hAnsi="Wingdings" w:eastAsia="Wingdings" w:cs="Wingdings"/>
          <w:sz w:val="24"/>
          <w:szCs w:val="24"/>
          <w:highlight w:val="none"/>
        </w:rPr>
        <w:t xml:space="preserve"></w:t>
      </w:r>
      <w:r>
        <w:rPr>
          <w:rFonts w:hint="eastAsia" w:ascii="宋体" w:hAnsi="宋体"/>
          <w:bCs/>
          <w:sz w:val="24"/>
          <w:szCs w:val="24"/>
          <w:highlight w:val="none"/>
        </w:rPr>
        <w:t xml:space="preserve">是</w:t>
      </w:r>
      <w:r>
        <w:rPr>
          <w:rFonts w:hint="eastAsia" w:ascii="宋体" w:hAnsi="宋体"/>
          <w:bCs/>
          <w:sz w:val="24"/>
          <w:szCs w:val="24"/>
          <w:highlight w:val="none"/>
          <w:lang w:val="en-US" w:eastAsia="zh-CN"/>
        </w:rPr>
        <w:t xml:space="preserve">  </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否</w:t>
      </w:r>
      <w:r>
        <w:rPr>
          <w:rFonts w:hint="eastAsia" w:ascii="宋体" w:hAnsi="宋体"/>
          <w:bCs/>
          <w:color w:val="0000ff"/>
          <w:sz w:val="24"/>
          <w:szCs w:val="24"/>
          <w:highlight w:val="none"/>
          <w:lang w:eastAsia="zh-CN"/>
        </w:rPr>
        <w:t xml:space="preserve">（</w:t>
      </w:r>
      <w:r>
        <w:rPr>
          <w:rFonts w:hint="eastAsia" w:ascii="宋体" w:hAnsi="宋体"/>
          <w:bCs/>
          <w:color w:val="0000ff"/>
          <w:sz w:val="24"/>
          <w:szCs w:val="24"/>
          <w:highlight w:val="none"/>
          <w:lang w:val="en-US" w:eastAsia="zh-CN"/>
        </w:rPr>
        <w:t xml:space="preserve">本项目不涉及</w:t>
      </w:r>
      <w:r>
        <w:rPr>
          <w:rFonts w:hint="eastAsia" w:ascii="宋体" w:hAnsi="宋体"/>
          <w:bCs/>
          <w:color w:val="0000ff"/>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single"/>
          <w:lang w:eastAsia="zh-CN"/>
        </w:rPr>
      </w:pPr>
      <w:r>
        <w:rPr>
          <w:rFonts w:hint="eastAsia" w:ascii="宋体" w:hAnsi="宋体"/>
          <w:bCs/>
          <w:sz w:val="24"/>
          <w:szCs w:val="24"/>
          <w:highlight w:val="none"/>
        </w:rPr>
        <w:t xml:space="preserve">验收组织的其他事项：</w:t>
      </w:r>
      <w:r>
        <w:rPr>
          <w:rFonts w:hint="eastAsia" w:ascii="宋体" w:hAnsi="宋体"/>
          <w:bCs/>
          <w:color w:val="0000ff"/>
          <w:sz w:val="24"/>
          <w:szCs w:val="24"/>
          <w:highlight w:val="none"/>
          <w:u w:val="single"/>
        </w:rPr>
        <w:t xml:space="preserve">现场核对油品品类、数量、质量证明文件，抽样检验</w:t>
      </w:r>
      <w:r>
        <w:rPr>
          <w:rFonts w:hint="eastAsia" w:ascii="宋体" w:hAnsi="宋体"/>
          <w:bCs/>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（2）履约验收时间：</w:t>
      </w:r>
      <w:r>
        <w:rPr>
          <w:rFonts w:hint="eastAsia" w:ascii="宋体" w:hAnsi="宋体"/>
          <w:bCs/>
          <w:color w:val="0000ff"/>
          <w:sz w:val="24"/>
          <w:szCs w:val="24"/>
          <w:highlight w:val="none"/>
          <w:u w:val="single"/>
        </w:rPr>
        <w:t xml:space="preserve">供应商提出验收申请之日起 3 日内组织验收</w:t>
      </w:r>
      <w:r>
        <w:rPr>
          <w:rFonts w:hint="eastAsia" w:ascii="宋体" w:hAnsi="宋体"/>
          <w:bCs/>
          <w:color w:val="0000ff"/>
          <w:sz w:val="24"/>
          <w:szCs w:val="24"/>
          <w:highlight w:val="none"/>
          <w:u w:val="none"/>
          <w:lang w:eastAsia="zh-CN"/>
        </w:rPr>
        <w:t xml:space="preserve">。</w:t>
      </w:r>
      <w:r/>
    </w:p>
    <w:p>
      <w:pPr>
        <w:ind w:left="0" w:firstLine="480"/>
        <w:keepLines w:val="0"/>
        <w:keepNext w:val="0"/>
        <w:pageBreakBefore w:val="0"/>
        <w:spacing w:line="520" w:lineRule="exact"/>
        <w:rPr>
          <w:rFonts w:ascii="宋体" w:hAnsi="宋体"/>
          <w:bCs/>
          <w:sz w:val="24"/>
          <w:szCs w:val="24"/>
          <w:highlight w:val="none"/>
        </w:rPr>
      </w:pPr>
      <w:r>
        <w:rPr>
          <w:rFonts w:hint="eastAsia" w:ascii="宋体" w:hAnsi="宋体"/>
          <w:bCs/>
          <w:sz w:val="24"/>
          <w:szCs w:val="24"/>
          <w:highlight w:val="none"/>
        </w:rPr>
        <w:t xml:space="preserve">（3）履约验收方式：</w:t>
      </w:r>
      <w:r>
        <w:rPr>
          <w:rFonts w:ascii="Wingdings" w:hAnsi="Wingdings" w:eastAsia="Wingdings" w:cs="Wingdings"/>
          <w:color w:val="0000ff"/>
          <w:sz w:val="24"/>
          <w:szCs w:val="24"/>
          <w:highlight w:val="none"/>
        </w:rPr>
        <w:t xml:space="preserve">þ</w:t>
      </w:r>
      <w:r>
        <w:rPr>
          <w:rFonts w:hint="eastAsia" w:ascii="宋体" w:hAnsi="宋体"/>
          <w:bCs/>
          <w:color w:val="0000ff"/>
          <w:sz w:val="24"/>
          <w:szCs w:val="24"/>
          <w:highlight w:val="none"/>
        </w:rPr>
        <w:t xml:space="preserve">分期/分项验收：</w:t>
      </w:r>
      <w:r>
        <w:rPr>
          <w:rFonts w:hint="eastAsia" w:ascii="宋体" w:hAnsi="宋体"/>
          <w:bCs/>
          <w:color w:val="0000ff"/>
          <w:sz w:val="24"/>
          <w:szCs w:val="24"/>
          <w:highlight w:val="none"/>
          <w:u w:val="single"/>
        </w:rPr>
        <w:t xml:space="preserve">（按供货批次验收）</w:t>
      </w:r>
      <w:r/>
    </w:p>
    <w:p>
      <w:pPr>
        <w:ind w:left="0" w:firstLine="480"/>
        <w:keepLines w:val="0"/>
        <w:keepNext w:val="0"/>
        <w:pageBreakBefore w:val="0"/>
        <w:spacing w:line="520" w:lineRule="exact"/>
        <w:rPr>
          <w:rFonts w:hint="eastAsia" w:ascii="宋体" w:hAnsi="宋体" w:eastAsiaTheme="minorEastAsia"/>
          <w:bCs/>
          <w:sz w:val="24"/>
          <w:szCs w:val="24"/>
          <w:highlight w:val="none"/>
          <w:lang w:eastAsia="zh-CN"/>
        </w:rPr>
      </w:pPr>
      <w:r>
        <w:rPr>
          <w:rFonts w:hint="eastAsia" w:ascii="宋体" w:hAnsi="宋体"/>
          <w:bCs/>
          <w:sz w:val="24"/>
          <w:szCs w:val="24"/>
          <w:highlight w:val="none"/>
        </w:rPr>
        <w:t xml:space="preserve">（4）履约验收程序：</w:t>
      </w:r>
      <w:r>
        <w:rPr>
          <w:rFonts w:hint="eastAsia" w:ascii="宋体" w:hAnsi="宋体"/>
          <w:bCs/>
          <w:color w:val="0000ff"/>
          <w:sz w:val="24"/>
          <w:szCs w:val="24"/>
          <w:highlight w:val="none"/>
          <w:u w:val="single"/>
        </w:rPr>
        <w:t xml:space="preserve">油品送达→现场核对→抽样检验→合格签署供货确认单</w:t>
      </w:r>
      <w:r>
        <w:rPr>
          <w:rFonts w:hint="eastAsia" w:ascii="宋体" w:hAnsi="宋体"/>
          <w:bCs/>
          <w:sz w:val="24"/>
          <w:szCs w:val="24"/>
          <w:highlight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（5）履约验收的内容：</w:t>
      </w:r>
      <w:r>
        <w:rPr>
          <w:rFonts w:hint="eastAsia" w:ascii="宋体" w:hAnsi="宋体"/>
          <w:bCs/>
          <w:color w:val="0000ff"/>
          <w:sz w:val="24"/>
          <w:szCs w:val="24"/>
          <w:highlight w:val="none"/>
          <w:u w:val="single"/>
        </w:rPr>
        <w:t xml:space="preserve">油品质量、数量、配送/加注服务、检验报告</w:t>
      </w:r>
      <w:r>
        <w:rPr>
          <w:rFonts w:hint="eastAsia" w:ascii="宋体" w:hAnsi="宋体"/>
          <w:bCs/>
          <w:color w:val="0000ff"/>
          <w:sz w:val="24"/>
          <w:szCs w:val="24"/>
          <w:highlight w:val="none"/>
          <w:u w:val="none"/>
          <w:lang w:eastAsia="zh-CN"/>
        </w:rPr>
        <w:t xml:space="preserve">。</w:t>
      </w:r>
      <w:r/>
    </w:p>
    <w:p>
      <w:pPr>
        <w:ind w:left="0" w:firstLine="480"/>
        <w:keepLines w:val="0"/>
        <w:keepNext w:val="0"/>
        <w:pageBreakBefore w:val="0"/>
        <w:spacing w:line="520" w:lineRule="exact"/>
        <w:rPr>
          <w:rFonts w:hint="eastAsia" w:ascii="宋体" w:hAnsi="宋体" w:eastAsiaTheme="minorEastAsia"/>
          <w:bCs/>
          <w:sz w:val="24"/>
          <w:szCs w:val="24"/>
          <w:highlight w:val="none"/>
          <w:u w:val="none"/>
          <w:lang w:eastAsia="zh-CN"/>
        </w:rPr>
      </w:pPr>
      <w:r>
        <w:rPr>
          <w:rFonts w:hint="eastAsia" w:ascii="宋体" w:hAnsi="宋体"/>
          <w:bCs/>
          <w:sz w:val="24"/>
          <w:szCs w:val="24"/>
          <w:highlight w:val="none"/>
        </w:rPr>
        <w:t xml:space="preserve">（6）履约验收标准：</w:t>
      </w:r>
      <w:r>
        <w:rPr>
          <w:rFonts w:hint="eastAsia" w:ascii="宋体" w:hAnsi="宋体"/>
          <w:bCs/>
          <w:color w:val="0000ff"/>
          <w:sz w:val="24"/>
          <w:szCs w:val="24"/>
          <w:highlight w:val="none"/>
          <w:u w:val="single"/>
        </w:rPr>
        <w:t xml:space="preserve">GB 19147-2016《车用柴油》、GB 17930-2016《车用汽油》</w:t>
      </w:r>
      <w:r>
        <w:rPr>
          <w:rFonts w:hint="eastAsia" w:ascii="宋体" w:hAnsi="宋体"/>
          <w:bCs/>
          <w:sz w:val="24"/>
          <w:szCs w:val="24"/>
          <w:highlight w:val="none"/>
          <w:u w:val="none"/>
          <w:lang w:eastAsia="zh-CN"/>
        </w:rPr>
        <w:t xml:space="preserve">。</w:t>
      </w:r>
      <w:r/>
    </w:p>
    <w:p>
      <w:pPr>
        <w:ind w:left="0" w:firstLine="480"/>
        <w:jc w:val="left"/>
        <w:keepLines w:val="0"/>
        <w:keepNext w:val="0"/>
        <w:pageBreakBefore w:val="0"/>
        <w:spacing w:line="520" w:lineRule="exact"/>
        <w:widowControl/>
        <w:rPr>
          <w:rFonts w:hint="eastAsia" w:ascii="宋体" w:hAnsi="宋体" w:cs="宋体" w:eastAsiaTheme="minorEastAsia"/>
          <w:color w:val="0000ff"/>
          <w:sz w:val="24"/>
          <w:szCs w:val="24"/>
          <w:highlight w:val="none"/>
          <w:lang w:eastAsia="zh-CN"/>
        </w:rPr>
      </w:pPr>
      <w:r>
        <w:rPr>
          <w:rFonts w:hint="eastAsia" w:ascii="宋体" w:hAnsi="宋体" w:cs="宋体"/>
          <w:bCs/>
          <w:sz w:val="24"/>
          <w:szCs w:val="24"/>
          <w:highlight w:val="none"/>
        </w:rPr>
        <w:t xml:space="preserve">（7）是否以采购活动中供应商提供的样品作为参考：</w:t>
      </w:r>
      <w:r>
        <w:rPr>
          <w:rFonts w:ascii="Wingdings" w:hAnsi="Wingdings" w:eastAsia="Wingdings" w:cs="Wingdings"/>
          <w:sz w:val="24"/>
          <w:szCs w:val="24"/>
          <w:highlight w:val="none"/>
        </w:rPr>
        <w:t xml:space="preserve"></w:t>
      </w:r>
      <w:r>
        <w:rPr>
          <w:rFonts w:hint="eastAsia" w:ascii="宋体" w:hAnsi="宋体" w:cs="宋体"/>
          <w:bCs/>
          <w:sz w:val="24"/>
          <w:szCs w:val="24"/>
          <w:highlight w:val="none"/>
        </w:rPr>
        <w:t xml:space="preserve">是 </w:t>
      </w:r>
      <w:r>
        <w:rPr>
          <w:rFonts w:hint="eastAsia" w:ascii="宋体" w:hAnsi="宋体" w:cs="宋体"/>
          <w:bCs/>
          <w:color w:val="0000ff"/>
          <w:sz w:val="24"/>
          <w:szCs w:val="24"/>
          <w:highlight w:val="none"/>
        </w:rPr>
        <w:t xml:space="preserve"> </w:t>
      </w:r>
      <w:r>
        <w:rPr>
          <w:rFonts w:ascii="Wingdings" w:hAnsi="Wingdings" w:eastAsia="Wingdings" w:cs="Wingdings"/>
          <w:color w:val="0000ff"/>
          <w:sz w:val="24"/>
          <w:szCs w:val="24"/>
          <w:highlight w:val="none"/>
        </w:rPr>
        <w:t xml:space="preserve">þ</w:t>
      </w:r>
      <w:r>
        <w:rPr>
          <w:rFonts w:hint="eastAsia" w:ascii="宋体" w:hAnsi="宋体" w:cs="宋体"/>
          <w:bCs/>
          <w:color w:val="0000ff"/>
          <w:sz w:val="24"/>
          <w:szCs w:val="24"/>
          <w:highlight w:val="none"/>
        </w:rPr>
        <w:t xml:space="preserve">否</w:t>
      </w:r>
      <w:r>
        <w:rPr>
          <w:rFonts w:hint="eastAsia" w:ascii="宋体" w:hAnsi="宋体" w:cs="宋体"/>
          <w:bCs/>
          <w:color w:val="0000ff"/>
          <w:sz w:val="24"/>
          <w:szCs w:val="24"/>
          <w:highlight w:val="none"/>
          <w:lang w:eastAsia="zh-CN"/>
        </w:rPr>
        <w:t xml:space="preserve">（</w:t>
      </w:r>
      <w:r>
        <w:rPr>
          <w:rFonts w:hint="eastAsia" w:ascii="宋体" w:hAnsi="宋体" w:cs="宋体"/>
          <w:bCs/>
          <w:color w:val="0000ff"/>
          <w:sz w:val="24"/>
          <w:szCs w:val="24"/>
          <w:highlight w:val="none"/>
          <w:lang w:val="en-US" w:eastAsia="zh-CN"/>
        </w:rPr>
        <w:t xml:space="preserve">不涉及</w:t>
      </w:r>
      <w:r>
        <w:rPr>
          <w:rFonts w:hint="eastAsia" w:ascii="宋体" w:hAnsi="宋体" w:cs="宋体"/>
          <w:bCs/>
          <w:color w:val="0000ff"/>
          <w:sz w:val="24"/>
          <w:szCs w:val="24"/>
          <w:highlight w:val="none"/>
          <w:lang w:eastAsia="zh-CN"/>
        </w:rPr>
        <w:t xml:space="preserve">）</w:t>
      </w:r>
      <w:r/>
    </w:p>
    <w:p>
      <w:pPr>
        <w:ind w:left="0" w:firstLine="480"/>
        <w:keepLines w:val="0"/>
        <w:keepNext w:val="0"/>
        <w:pageBreakBefore w:val="0"/>
        <w:spacing w:line="520" w:lineRule="exact"/>
        <w:rPr>
          <w:rFonts w:hint="default" w:ascii="宋体" w:hAnsi="宋体" w:cs="宋体" w:eastAsiaTheme="minorEastAsia"/>
          <w:bCs/>
          <w:sz w:val="24"/>
          <w:szCs w:val="24"/>
          <w:highlight w:val="none"/>
          <w:u w:val="single"/>
          <w:lang w:val="en-US" w:eastAsia="zh-CN"/>
        </w:rPr>
      </w:pPr>
      <w:r>
        <w:rPr>
          <w:rFonts w:hint="eastAsia" w:ascii="宋体" w:hAnsi="宋体" w:cs="宋体"/>
          <w:bCs/>
          <w:sz w:val="24"/>
          <w:szCs w:val="24"/>
          <w:highlight w:val="none"/>
        </w:rPr>
        <w:t xml:space="preserve">（8）履约验收其他事项：</w:t>
      </w:r>
      <w:r>
        <w:rPr>
          <w:rFonts w:hint="eastAsia" w:ascii="宋体" w:hAnsi="宋体" w:cs="宋体"/>
          <w:bCs/>
          <w:color w:val="0000ff"/>
          <w:sz w:val="24"/>
          <w:szCs w:val="24"/>
          <w:highlight w:val="none"/>
          <w:u w:val="single"/>
          <w:lang w:val="en-US" w:eastAsia="zh-CN"/>
        </w:rPr>
        <w:t xml:space="preserve"> 无 </w:t>
      </w:r>
      <w:r/>
    </w:p>
    <w:p>
      <w:pPr>
        <w:numPr>
          <w:ilvl w:val="0"/>
          <w:numId w:val="0"/>
        </w:numPr>
        <w:ind w:left="0" w:firstLine="480"/>
        <w:keepLines w:val="0"/>
        <w:keepNext w:val="0"/>
        <w:pageBreakBefore w:val="0"/>
        <w:spacing w:line="520" w:lineRule="exact"/>
        <w:rPr>
          <w:rFonts w:ascii="宋体" w:hAnsi="宋体"/>
          <w:b/>
          <w:sz w:val="24"/>
          <w:szCs w:val="24"/>
          <w:highlight w:val="none"/>
        </w:rPr>
      </w:pPr>
      <w:r>
        <w:rPr>
          <w:rFonts w:ascii="宋体" w:hAnsi="宋体" w:eastAsiaTheme="minorEastAsia" w:cstheme="minorBidi"/>
          <w:b/>
          <w:sz w:val="24"/>
          <w:szCs w:val="24"/>
          <w:lang w:val="en-US" w:eastAsia="zh-CN" w:bidi="ar-SA"/>
        </w:rPr>
        <w:t xml:space="preserve">5.</w:t>
      </w:r>
      <w:r>
        <w:rPr>
          <w:rFonts w:hint="eastAsia" w:ascii="宋体" w:hAnsi="宋体"/>
          <w:b/>
          <w:sz w:val="24"/>
          <w:szCs w:val="24"/>
          <w:highlight w:val="none"/>
        </w:rPr>
        <w:t xml:space="preserve">组成合同的文件</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本协议书与下列文件一起构成合同文件，如下述文件之间有任何抵触、矛盾或歧义，应按以下顺序解释：</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（1）政府采购合同协议书及其变更、补充协议</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（2）政府采购合同专用条款</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（3）政府采购合同通用条款</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（4）中标（成交）通知书</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（5）投标（响应）文件</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（6）采购文件</w:t>
      </w:r>
      <w:r/>
    </w:p>
    <w:p>
      <w:pPr>
        <w:ind w:left="0" w:firstLine="480"/>
        <w:keepLines w:val="0"/>
        <w:keepNext w:val="0"/>
        <w:pageBreakBefore w:val="0"/>
        <w:spacing w:line="520" w:lineRule="exact"/>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rPr>
        <w:t xml:space="preserve">（7）有关技术文件，图纸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如有</w:t>
      </w:r>
      <w:r>
        <w:rPr>
          <w:rFonts w:hint="eastAsia" w:ascii="宋体" w:hAnsi="宋体"/>
          <w:color w:val="auto"/>
          <w:sz w:val="24"/>
          <w:szCs w:val="24"/>
          <w:highlight w:val="none"/>
          <w:lang w:eastAsia="zh-CN"/>
        </w:rPr>
        <w:t xml:space="preserve">）</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（8）国家法律、行政法规和规章制度规定或合同约定的作为合同组成部分的其他文件</w:t>
      </w:r>
      <w:r/>
    </w:p>
    <w:p>
      <w:pPr>
        <w:ind w:left="0" w:firstLine="480"/>
        <w:keepLines w:val="0"/>
        <w:keepNext w:val="0"/>
        <w:pageBreakBefore w:val="0"/>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日生效。</w:t>
      </w:r>
      <w:r/>
    </w:p>
    <w:p>
      <w:pPr>
        <w:ind w:left="0" w:firstLine="480"/>
        <w:keepLines w:val="0"/>
        <w:keepNext w:val="0"/>
        <w:pageBreakBefore w:val="0"/>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lang w:val="en-US" w:eastAsia="zh-CN"/>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left="0" w:firstLine="480"/>
        <w:keepLines w:val="0"/>
        <w:keepNext w:val="0"/>
        <w:pageBreakBefore w:val="0"/>
        <w:spacing w:line="520" w:lineRule="exact"/>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lang w:val="en-US" w:eastAsia="zh-CN"/>
        </w:rPr>
        <w:t xml:space="preserve">江苏省盐城市滨海县</w:t>
      </w:r>
      <w:r/>
    </w:p>
    <w:p>
      <w:pPr>
        <w:ind w:left="0" w:firstLine="480"/>
        <w:keepLines w:val="0"/>
        <w:keepNext w:val="0"/>
        <w:pageBreakBefore w:val="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附件：具体标的及其技术要求和商务要求、联合协议、分包意向协议等。</w:t>
      </w:r>
      <w:r/>
    </w:p>
    <w:p>
      <w:pPr>
        <w:ind w:left="0" w:firstLine="480"/>
        <w:keepLines w:val="0"/>
        <w:keepNext w:val="0"/>
        <w:pageBreakBefore w:val="0"/>
        <w:spacing w:line="52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以下无正文</w:t>
      </w:r>
      <w:r/>
    </w:p>
    <w:p>
      <w:pPr>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br w:type="page" w:clear="all"/>
      </w:r>
      <w:r/>
    </w:p>
    <w:tbl>
      <w:tblPr>
        <w:tblStyle w:val="69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513"/>
        <w:gridCol w:w="2516"/>
        <w:gridCol w:w="2393"/>
        <w:gridCol w:w="2395"/>
      </w:tblGrid>
      <w:tr>
        <w:trPr>
          <w:jc w:val="center"/>
          <w:trHeight w:val="490"/>
        </w:trPr>
        <w:tc>
          <w:tcPr>
            <w:gridSpan w:val="2"/>
            <w:tcBorders>
              <w:bottom w:val="single" w:color="000000" w:sz="2" w:space="0"/>
              <w:right w:val="single" w:color="000000" w:sz="2" w:space="0"/>
            </w:tcBorders>
            <w:tcW w:w="5029"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甲方（采购人、受采购人委托签订合同的单位或采购文件约定的合同甲方）</w:t>
            </w:r>
            <w:r/>
          </w:p>
        </w:tc>
        <w:tc>
          <w:tcPr>
            <w:gridSpan w:val="2"/>
            <w:tcBorders>
              <w:left w:val="single" w:color="000000" w:sz="2" w:space="0"/>
              <w:bottom w:val="single" w:color="000000" w:sz="2" w:space="0"/>
            </w:tcBorders>
            <w:tcW w:w="4788"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单位名称（公章或合同章）</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cantSplit/>
          <w:jc w:val="center"/>
          <w:trHeight w:val="1786"/>
        </w:trPr>
        <w:tc>
          <w:tcPr>
            <w:tcBorders>
              <w:top w:val="single" w:color="000000" w:sz="2" w:space="0"/>
              <w:right w:val="single" w:color="000000" w:sz="2" w:space="0"/>
            </w:tcBorders>
            <w:tcW w:w="2513" w:type="dxa"/>
            <w:vAlign w:val="center"/>
            <w:vMerge w:val="restart"/>
            <w:textDirection w:val="lrTb"/>
            <w:noWrap w:val="false"/>
          </w:tcPr>
          <w:p>
            <w:pPr>
              <w:jc w:val="center"/>
              <w:keepLines w:val="0"/>
              <w:keepNext w:val="0"/>
              <w:widowControl/>
              <w:rPr>
                <w:rFonts w:hint="default" w:ascii="Arial" w:hAnsi="Arial" w:eastAsia="宋体" w:cs="Arial"/>
                <w:i w:val="0"/>
                <w:iCs w:val="0"/>
                <w:color w:val="000000"/>
                <w:sz w:val="24"/>
                <w:szCs w:val="24"/>
                <w:u w:val="none"/>
                <w:lang w:val="en-US" w:eastAsia="zh-CN" w:bidi="ar"/>
              </w:rPr>
              <w:suppressLineNumbers w:val="0"/>
            </w:pPr>
            <w:r>
              <w:rPr>
                <w:rFonts w:hint="default" w:ascii="Arial" w:hAnsi="Arial" w:eastAsia="宋体" w:cs="Arial"/>
                <w:i w:val="0"/>
                <w:iCs w:val="0"/>
                <w:color w:val="000000"/>
                <w:sz w:val="24"/>
                <w:szCs w:val="24"/>
                <w:u w:val="none"/>
                <w:lang w:val="en-US" w:eastAsia="zh-CN" w:bidi="ar"/>
              </w:rPr>
              <w:t xml:space="preserve">法定代表人</w:t>
            </w:r>
            <w:r/>
          </w:p>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或其委托代理人（签章）</w:t>
            </w:r>
            <w:r/>
          </w:p>
        </w:tc>
        <w:tc>
          <w:tcPr>
            <w:tcBorders>
              <w:top w:val="single" w:color="000000" w:sz="2" w:space="0"/>
              <w:left w:val="single" w:color="000000" w:sz="2" w:space="0"/>
              <w:right w:val="single" w:color="000000" w:sz="2" w:space="0"/>
            </w:tcBorders>
            <w:tcW w:w="2516" w:type="dxa"/>
            <w:vAlign w:val="center"/>
            <w:vMerge w:val="restart"/>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rFonts w:hint="default" w:ascii="Arial" w:hAnsi="Arial" w:eastAsia="宋体" w:cs="Arial"/>
                <w:i w:val="0"/>
                <w:iCs w:val="0"/>
                <w:color w:val="000000"/>
                <w:sz w:val="24"/>
                <w:szCs w:val="24"/>
                <w:u w:val="none"/>
                <w:lang w:val="en-US" w:eastAsia="zh-CN" w:bidi="ar"/>
              </w:rPr>
              <w:suppressLineNumbers w:val="0"/>
            </w:pPr>
            <w:r>
              <w:rPr>
                <w:rFonts w:hint="default" w:ascii="Arial" w:hAnsi="Arial" w:eastAsia="宋体" w:cs="Arial"/>
                <w:i w:val="0"/>
                <w:iCs w:val="0"/>
                <w:color w:val="000000"/>
                <w:sz w:val="24"/>
                <w:szCs w:val="24"/>
                <w:u w:val="none"/>
                <w:lang w:val="en-US" w:eastAsia="zh-CN" w:bidi="ar"/>
              </w:rPr>
              <w:t xml:space="preserve">法定代表人</w:t>
            </w:r>
            <w:r/>
          </w:p>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或其委托代理人（签章）</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z w:val="24"/>
                <w:highlight w:val="none"/>
              </w:rPr>
            </w:pPr>
            <w:r>
              <w:rPr>
                <w:sz w:val="24"/>
                <w:highlight w:val="none"/>
              </w:rPr>
            </w:r>
            <w:r/>
          </w:p>
        </w:tc>
      </w:tr>
      <w:tr>
        <w:trPr>
          <w:jc w:val="center"/>
          <w:trHeight w:val="483"/>
        </w:trPr>
        <w:tc>
          <w:tcPr>
            <w:tcBorders>
              <w:bottom w:val="single" w:color="000000" w:sz="2" w:space="0"/>
              <w:right w:val="single" w:color="000000" w:sz="2" w:space="0"/>
            </w:tcBorders>
            <w:tcW w:w="2513" w:type="dxa"/>
            <w:vAlign w:val="center"/>
            <w:vMerge w:val="continue"/>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vMerge w:val="continue"/>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拥有者性别</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住所</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住所</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w:t>
            </w:r>
            <w:r>
              <w:rPr>
                <w:rStyle w:val="883"/>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系</w:t>
            </w:r>
            <w:r>
              <w:rPr>
                <w:rStyle w:val="883"/>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人</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w:t>
            </w:r>
            <w:r>
              <w:rPr>
                <w:rStyle w:val="883"/>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系</w:t>
            </w:r>
            <w:r>
              <w:rPr>
                <w:rStyle w:val="883"/>
                <w:rFonts w:eastAsia="宋体"/>
                <w:lang w:val="en-US" w:eastAsia="zh-CN" w:bidi="ar"/>
              </w:rPr>
              <w:t xml:space="preserve"> </w:t>
            </w:r>
            <w:r>
              <w:rPr>
                <w:rFonts w:hint="default" w:ascii="Arial" w:hAnsi="Arial" w:eastAsia="宋体" w:cs="Arial"/>
                <w:i w:val="0"/>
                <w:iCs w:val="0"/>
                <w:color w:val="000000"/>
                <w:sz w:val="24"/>
                <w:szCs w:val="24"/>
                <w:u w:val="none"/>
                <w:lang w:val="en-US" w:eastAsia="zh-CN" w:bidi="ar"/>
              </w:rPr>
              <w:t xml:space="preserve">人</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联系电话</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联系电话</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通信地址</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通信地址</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邮政编码</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邮政编码</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电子邮箱</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电子邮箱</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统一社会信用代码</w:t>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统一社会信用代码</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开户名称</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513"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516" w:type="dxa"/>
            <w:vAlign w:val="center"/>
            <w:textDirection w:val="lrTb"/>
            <w:noWrap w:val="false"/>
          </w:tcPr>
          <w:p>
            <w:pPr>
              <w:jc w:val="center"/>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93" w:type="dxa"/>
            <w:vAlign w:val="center"/>
            <w:textDirection w:val="lrTb"/>
            <w:noWrap w:val="false"/>
          </w:tcPr>
          <w:p>
            <w:pPr>
              <w:jc w:val="center"/>
              <w:keepLines w:val="0"/>
              <w:keepNext w:val="0"/>
              <w:widowControl/>
              <w:rPr>
                <w:sz w:val="24"/>
                <w:highlight w:val="none"/>
              </w:rPr>
              <w:suppressLineNumbers w:val="0"/>
            </w:pPr>
            <w:r>
              <w:rPr>
                <w:rFonts w:hint="default" w:ascii="Arial" w:hAnsi="Arial" w:eastAsia="宋体" w:cs="Arial"/>
                <w:i w:val="0"/>
                <w:iCs w:val="0"/>
                <w:color w:val="000000"/>
                <w:sz w:val="24"/>
                <w:szCs w:val="24"/>
                <w:u w:val="none"/>
                <w:lang w:val="en-US" w:eastAsia="zh-CN" w:bidi="ar"/>
              </w:rPr>
              <w:t xml:space="preserve">开户银行</w:t>
            </w:r>
            <w:r/>
          </w:p>
        </w:tc>
        <w:tc>
          <w:tcPr>
            <w:tcBorders>
              <w:top w:val="single" w:color="000000" w:sz="2" w:space="0"/>
              <w:left w:val="single" w:color="000000" w:sz="2" w:space="0"/>
              <w:bottom w:val="single" w:color="000000" w:sz="2" w:space="0"/>
            </w:tcBorders>
            <w:tcW w:w="2395" w:type="dxa"/>
            <w:vAlign w:val="center"/>
            <w:textDirection w:val="lrTb"/>
            <w:noWrap w:val="false"/>
          </w:tcPr>
          <w:p>
            <w:pPr>
              <w:jc w:val="center"/>
              <w:rPr>
                <w:spacing w:val="20"/>
                <w:sz w:val="24"/>
                <w:highlight w:val="none"/>
              </w:rPr>
            </w:pPr>
            <w:r>
              <w:rPr>
                <w:spacing w:val="20"/>
                <w:sz w:val="24"/>
                <w:highlight w:val="none"/>
              </w:rPr>
            </w:r>
            <w:r/>
          </w:p>
        </w:tc>
      </w:tr>
      <w:tr>
        <w:trPr>
          <w:jc w:val="center"/>
          <w:trHeight w:val="586"/>
        </w:trPr>
        <w:tc>
          <w:tcPr>
            <w:tcBorders>
              <w:top w:val="single" w:color="000000" w:sz="2" w:space="0"/>
              <w:bottom w:val="single" w:color="000000" w:sz="2" w:space="0"/>
            </w:tcBorders>
            <w:tcW w:w="2513" w:type="dxa"/>
            <w:vAlign w:val="center"/>
            <w:textDirection w:val="lrTb"/>
            <w:noWrap w:val="false"/>
          </w:tcPr>
          <w:p>
            <w:pPr>
              <w:jc w:val="center"/>
              <w:rPr>
                <w:spacing w:val="20"/>
                <w:sz w:val="24"/>
                <w:highlight w:val="none"/>
              </w:rPr>
            </w:pPr>
            <w:r>
              <w:rPr>
                <w:spacing w:val="20"/>
                <w:sz w:val="24"/>
                <w:highlight w:val="none"/>
              </w:rPr>
            </w:r>
            <w:r/>
          </w:p>
        </w:tc>
        <w:tc>
          <w:tcPr>
            <w:tcBorders>
              <w:top w:val="single" w:color="000000" w:sz="2" w:space="0"/>
              <w:bottom w:val="single" w:color="000000" w:sz="2" w:space="0"/>
            </w:tcBorders>
            <w:tcW w:w="2516" w:type="dxa"/>
            <w:vAlign w:val="center"/>
            <w:textDirection w:val="lrTb"/>
            <w:noWrap w:val="false"/>
          </w:tcPr>
          <w:p>
            <w:pPr>
              <w:jc w:val="center"/>
            </w:pPr>
            <w:r/>
            <w:r/>
          </w:p>
        </w:tc>
        <w:tc>
          <w:tcPr>
            <w:tcBorders>
              <w:top w:val="single" w:color="000000" w:sz="2" w:space="0"/>
              <w:bottom w:val="single" w:color="000000" w:sz="2" w:space="0"/>
            </w:tcBorders>
            <w:tcW w:w="2393" w:type="dxa"/>
            <w:vAlign w:val="center"/>
            <w:textDirection w:val="lrTb"/>
            <w:noWrap w:val="false"/>
          </w:tcPr>
          <w:p>
            <w:pPr>
              <w:jc w:val="center"/>
              <w:keepLines w:val="0"/>
              <w:keepNext w:val="0"/>
              <w:widowControl/>
              <w:suppressLineNumbers w:val="0"/>
            </w:pPr>
            <w:r>
              <w:rPr>
                <w:rFonts w:hint="default" w:ascii="Arial" w:hAnsi="Arial" w:eastAsia="宋体" w:cs="Arial"/>
                <w:i w:val="0"/>
                <w:iCs w:val="0"/>
                <w:color w:val="000000"/>
                <w:sz w:val="24"/>
                <w:szCs w:val="24"/>
                <w:u w:val="none"/>
                <w:lang w:val="en-US" w:eastAsia="zh-CN" w:bidi="ar"/>
              </w:rPr>
              <w:t xml:space="preserve">银行账号</w:t>
            </w:r>
            <w:r/>
          </w:p>
        </w:tc>
        <w:tc>
          <w:tcPr>
            <w:tcBorders>
              <w:top w:val="single" w:color="000000" w:sz="2" w:space="0"/>
              <w:bottom w:val="single" w:color="000000" w:sz="2" w:space="0"/>
            </w:tcBorders>
            <w:tcW w:w="2395" w:type="dxa"/>
            <w:vAlign w:val="center"/>
            <w:textDirection w:val="lrTb"/>
            <w:noWrap w:val="false"/>
          </w:tcPr>
          <w:p>
            <w:pPr>
              <w:jc w:val="center"/>
            </w:pPr>
            <w:r/>
            <w:r/>
          </w:p>
        </w:tc>
      </w:tr>
      <w:tr>
        <w:trPr>
          <w:jc w:val="center"/>
          <w:trHeight w:val="586"/>
        </w:trPr>
        <w:tc>
          <w:tcPr>
            <w:gridSpan w:val="4"/>
            <w:tcBorders>
              <w:top w:val="single" w:color="000000" w:sz="2" w:space="0"/>
            </w:tcBorders>
            <w:tcW w:w="9817" w:type="dxa"/>
            <w:vAlign w:val="center"/>
            <w:textDirection w:val="lrTb"/>
            <w:noWrap w:val="false"/>
          </w:tcPr>
          <w:p>
            <w:pPr>
              <w:jc w:val="center"/>
            </w:pPr>
            <w:r>
              <w:rPr>
                <w:rFonts w:hint="eastAsia" w:ascii="宋体" w:hAnsi="宋体"/>
                <w:sz w:val="24"/>
                <w:highlight w:val="none"/>
              </w:rPr>
              <w:t xml:space="preserve">注：涉及联合体或其他合同主体的信息应按上表格式加列。</w:t>
            </w:r>
            <w:r/>
          </w:p>
        </w:tc>
      </w:tr>
    </w:tbl>
    <w:p>
      <w:pPr>
        <w:ind w:left="0" w:firstLine="480"/>
        <w:keepLines w:val="0"/>
        <w:keepNext w:val="0"/>
        <w:pageBreakBefore w:val="0"/>
        <w:spacing w:line="520" w:lineRule="exac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p>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pStyle w:val="718"/>
        <w:numPr>
          <w:ilvl w:val="0"/>
          <w:numId w:val="0"/>
        </w:numPr>
        <w:jc w:val="center"/>
        <w:keepLines w:val="0"/>
        <w:keepNext w:val="0"/>
        <w:pageBreakBefore w:val="0"/>
        <w:spacing w:beforeAutospacing="0" w:afterAutospacing="0" w:line="360" w:lineRule="auto"/>
        <w:widowControl w:val="off"/>
        <w:rPr>
          <w:rFonts w:hint="eastAsia" w:ascii="方正小标宋简体" w:hAnsi="方正小标宋简体" w:eastAsia="方正小标宋简体" w:cs="方正小标宋简体"/>
          <w:sz w:val="36"/>
          <w:szCs w:val="36"/>
          <w:highlight w:val="none"/>
          <w:lang w:val="en-US" w:eastAsia="zh-CN" w:bidi="ar-SA"/>
        </w:rPr>
        <w:outlineLvl w:val="0"/>
      </w:pPr>
      <w:r/>
      <w:bookmarkStart w:id="198" w:name="_Toc27624"/>
      <w:r>
        <w:rPr>
          <w:rFonts w:hint="eastAsia" w:ascii="方正小标宋简体" w:hAnsi="方正小标宋简体" w:eastAsia="方正小标宋简体" w:cs="方正小标宋简体"/>
          <w:sz w:val="36"/>
          <w:szCs w:val="36"/>
          <w:lang w:val="en-US" w:eastAsia="zh-CN" w:bidi="ar-SA"/>
        </w:rPr>
        <w:t xml:space="preserve">第二节 </w:t>
      </w:r>
      <w:r>
        <w:rPr>
          <w:rFonts w:hint="eastAsia" w:ascii="方正小标宋简体" w:hAnsi="方正小标宋简体" w:eastAsia="方正小标宋简体" w:cs="方正小标宋简体"/>
          <w:sz w:val="36"/>
          <w:szCs w:val="36"/>
          <w:highlight w:val="none"/>
          <w:lang w:val="en-US" w:eastAsia="zh-CN" w:bidi="ar-SA"/>
        </w:rPr>
        <w:t xml:space="preserve">政府采购合同通用条款</w:t>
      </w:r>
      <w:bookmarkEnd w:id="198"/>
      <w:r/>
      <w:r/>
    </w:p>
    <w:p>
      <w:pPr>
        <w:jc w:val="left"/>
        <w:keepLines w:val="0"/>
        <w:keepNext w:val="0"/>
        <w:pageBreakBefore w:val="0"/>
        <w:spacing w:beforeAutospacing="0" w:afterAutospacing="0" w:line="520" w:lineRule="exact"/>
        <w:tabs>
          <w:tab w:val="left" w:pos="8820" w:leader="none"/>
          <w:tab w:val="left" w:pos="9345" w:leader="none"/>
          <w:tab w:val="left" w:pos="9765"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bCs/>
          <w:sz w:val="24"/>
          <w:szCs w:val="24"/>
          <w:highlight w:val="none"/>
        </w:rPr>
        <w:t xml:space="preserve">定义</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1.1合同当事人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themeColor="text1"/>
          <w:sz w:val="24"/>
          <w:szCs w:val="24"/>
          <w:highlight w:val="none"/>
          <w14:textFill>
            <w14:solidFill>
              <w14:schemeClr w14:val="tx1"/>
            </w14:solidFill>
          </w14:textFill>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1.2本合同下列术语应解释为：</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themeColor="text1"/>
          <w:sz w:val="24"/>
          <w:szCs w:val="24"/>
          <w:highlight w:val="none"/>
          <w14:textFill>
            <w14:solidFill>
              <w14:schemeClr w14:val="tx1"/>
            </w14:solidFill>
          </w14:textFill>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szCs w:val="24"/>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 xml:space="preserve">包括软件）及相关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技术资料和材料等。</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服务”系指根据合同规定，乙方应提供的与货物有关的技术、管理和</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beforeAutospacing="0" w:afterAutospacing="0" w:line="52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（7）其他术语解释，见【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合同标的及金额</w:t>
      </w:r>
      <w:r/>
    </w:p>
    <w:p>
      <w:pPr>
        <w:ind w:firstLine="480"/>
        <w:jc w:val="left"/>
        <w:keepLines w:val="0"/>
        <w:keepNext w:val="0"/>
        <w:pageBreakBefore w:val="0"/>
        <w:spacing w:beforeAutospacing="0" w:afterAutospacing="0" w:line="520" w:lineRule="exac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2.1合同标的及金额应与中标（成交）结果一致。乙方为履行本合同而发生的所有费用均应包含在合同价款中，甲方不再另行支付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任何费用。</w:t>
      </w:r>
      <w:r/>
    </w:p>
    <w:p>
      <w:pPr>
        <w:ind w:firstLine="482"/>
        <w:jc w:val="left"/>
        <w:keepLines w:val="0"/>
        <w:keepNext w:val="0"/>
        <w:pageBreakBefore w:val="0"/>
        <w:spacing w:beforeAutospacing="0" w:afterAutospacing="0"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3.履行合同的时间、地点和方式</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sz w:val="24"/>
          <w:szCs w:val="24"/>
          <w:highlight w:val="none"/>
        </w:rPr>
        <w:t xml:space="preserve">乙方应当在约定的时间、地点，按照约定方式履行合同。</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4.甲方的权利和义务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4.3甲方有权要求乙方对缺陷部分予以修复，并按合同约定享有货物保修及其他合同约定的权利。</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4.4甲方应当按照合同约定及时对交付的货物进行验收，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themeColor="text1"/>
          <w:sz w:val="24"/>
          <w:szCs w:val="24"/>
          <w:highlight w:val="none"/>
          <w14:textFill>
            <w14:solidFill>
              <w14:schemeClr w14:val="tx1"/>
            </w14:solidFill>
          </w14:textFill>
        </w:rPr>
        <w:t xml:space="preserve">视为验收通过。</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4.5甲方应当根据合同约定及时向乙方支付合同价款，不得以内部人员变更、履行内部付款流程等为由，拒绝或迟延支付。</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4.6国家法律法规规定及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约定应由甲方承担的其他义务和责任。</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5.乙方的权利和义务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5.1签署合同后，乙方应确定项目负责人（或项目联系人），负责与本合同有关的事务。</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0"/>
        <w:ind w:firstLine="480"/>
        <w:keepLines w:val="0"/>
        <w:keepNext w:val="0"/>
        <w:pageBreakBefore w:val="0"/>
        <w:spacing w:beforeAutospacing="0" w:after="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5.3乙方有权根据合同约定向甲方收取合同价款。</w:t>
      </w:r>
      <w:r/>
    </w:p>
    <w:p>
      <w:pPr>
        <w:pStyle w:val="700"/>
        <w:ind w:firstLine="480"/>
        <w:keepLines w:val="0"/>
        <w:keepNext w:val="0"/>
        <w:pageBreakBefore w:val="0"/>
        <w:spacing w:beforeAutospacing="0" w:after="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合同履行</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7.货物包装、运输、保险和交付要求</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7.1本合同</w:t>
      </w:r>
      <w:r>
        <w:rPr>
          <w:rFonts w:hint="eastAsia" w:ascii="宋体" w:hAnsi="宋体" w:eastAsia="宋体" w:cs="宋体"/>
          <w:bCs/>
          <w:color w:val="000000" w:themeColor="text1"/>
          <w:sz w:val="24"/>
          <w:szCs w:val="24"/>
          <w:highlight w:val="none"/>
          <w14:textFill>
            <w14:solidFill>
              <w14:schemeClr w14:val="tx1"/>
            </w14:solidFill>
          </w14:textFill>
        </w:rPr>
        <w:t xml:space="preserve">涉及商品包装、快递包装的，</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约定的</w:t>
      </w:r>
      <w:r>
        <w:rPr>
          <w:rFonts w:hint="eastAsia" w:ascii="宋体" w:hAnsi="宋体" w:eastAsia="宋体" w:cs="宋体"/>
          <w:color w:val="000000" w:themeColor="text1"/>
          <w:sz w:val="24"/>
          <w:szCs w:val="24"/>
          <w:highlight w:val="none"/>
          <w14:textFill>
            <w14:solidFill>
              <w14:schemeClr w14:val="tx1"/>
            </w14:solidFill>
          </w14:textFill>
        </w:rPr>
        <w:t xml:space="preserve">指定现场。</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7.3货物保险要求按</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规定执行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w:t>
      </w:r>
      <w:r>
        <w:rPr>
          <w:rFonts w:hint="eastAsia" w:ascii="宋体" w:hAnsi="宋体" w:eastAsia="宋体" w:cs="宋体"/>
          <w:color w:val="000000"/>
          <w:sz w:val="24"/>
          <w:szCs w:val="24"/>
          <w:highlight w:val="none"/>
        </w:rPr>
        <w:t xml:space="preserve">乙方在运输到达之前应提前通知甲方，并提示货物运输装卸的注意事项，甲方配合乙方做好货物的接收工作。</w:t>
      </w:r>
      <w:r/>
    </w:p>
    <w:p>
      <w:pPr>
        <w:pStyle w:val="884"/>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7.6</w:t>
      </w:r>
      <w:r>
        <w:rPr>
          <w:rFonts w:hint="eastAsia" w:ascii="宋体" w:hAnsi="宋体" w:eastAsia="宋体" w:cs="宋体"/>
          <w:color w:val="000000"/>
          <w:sz w:val="24"/>
          <w:szCs w:val="24"/>
          <w:highlight w:val="none"/>
        </w:rPr>
        <w:t xml:space="preserve">如因包装、运输问题导致货物</w:t>
      </w:r>
      <w:r>
        <w:rPr>
          <w:rFonts w:hint="eastAsia" w:ascii="宋体" w:hAnsi="宋体" w:eastAsia="宋体" w:cs="宋体"/>
          <w:color w:val="000000" w:themeColor="text1"/>
          <w:sz w:val="24"/>
          <w:szCs w:val="24"/>
          <w:highlight w:val="none"/>
          <w14:textFill>
            <w14:solidFill>
              <w14:schemeClr w14:val="tx1"/>
            </w14:solidFill>
          </w14:textFill>
        </w:rPr>
        <w:t xml:space="preserve">损毁、丢失</w:t>
      </w:r>
      <w:r>
        <w:rPr>
          <w:rFonts w:hint="eastAsia" w:ascii="宋体" w:hAnsi="宋体" w:eastAsia="宋体" w:cs="宋体"/>
          <w:color w:val="000000"/>
          <w:sz w:val="24"/>
          <w:szCs w:val="24"/>
          <w:highlight w:val="none"/>
        </w:rPr>
        <w:t xml:space="preserve">或者品质下降，甲方有权要求降价、换货、拒收部分或整批货物，由此产生的费用和损失，均由乙方承担。</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8.</w:t>
      </w:r>
      <w:r>
        <w:rPr>
          <w:rFonts w:hint="eastAsia" w:ascii="宋体" w:hAnsi="宋体" w:eastAsia="宋体" w:cs="宋体"/>
          <w:b/>
          <w:sz w:val="24"/>
          <w:szCs w:val="24"/>
          <w:highlight w:val="none"/>
        </w:rPr>
        <w:t xml:space="preserve">质量标准和保证</w:t>
      </w:r>
      <w:r/>
    </w:p>
    <w:p>
      <w:pPr>
        <w:pStyle w:val="705"/>
        <w:ind w:firstLine="480"/>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8.1质量标准</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05"/>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（2）采用中华人民共和国法定计量单位。</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（3）乙方所提供的货物应符合国家有关安全、环保、卫生的规定。</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8.2保证</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themeColor="text1"/>
          <w:sz w:val="24"/>
          <w:szCs w:val="24"/>
          <w:highlight w:val="none"/>
          <w14:textFill>
            <w14:solidFill>
              <w14:schemeClr w14:val="tx1"/>
            </w14:solidFill>
          </w14:textFill>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的违约责任</w:t>
      </w:r>
      <w:r>
        <w:rPr>
          <w:rFonts w:hint="eastAsia" w:ascii="宋体" w:hAnsi="宋体" w:eastAsia="宋体" w:cs="宋体"/>
          <w:sz w:val="24"/>
          <w:szCs w:val="24"/>
          <w:highlight w:val="none"/>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9</w:t>
      </w:r>
      <w:r>
        <w:rPr>
          <w:rFonts w:hint="eastAsia" w:ascii="宋体" w:hAnsi="宋体" w:eastAsia="宋体" w:cs="宋体"/>
          <w:b/>
          <w:bCs/>
          <w:sz w:val="24"/>
          <w:szCs w:val="24"/>
          <w:highlight w:val="none"/>
        </w:rPr>
        <w:t xml:space="preserve">.权利瑕疵担保</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9.1乙方保证对其出售的货物享有合法的权利。</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w:t>
      </w:r>
      <w:r>
        <w:rPr>
          <w:rFonts w:hint="eastAsia" w:ascii="宋体" w:hAnsi="宋体" w:eastAsia="宋体" w:cs="宋体"/>
          <w:sz w:val="24"/>
          <w:szCs w:val="24"/>
          <w:highlight w:val="none"/>
        </w:rPr>
        <w:t xml:space="preserve">乙方保证在交付的货物上不存在抵押权等担保物权。</w:t>
      </w:r>
      <w:r/>
    </w:p>
    <w:p>
      <w:pPr>
        <w:ind w:firstLine="480"/>
        <w:jc w:val="left"/>
        <w:keepLines w:val="0"/>
        <w:keepNext w:val="0"/>
        <w:pageBreakBefore w:val="0"/>
        <w:spacing w:beforeAutospacing="0" w:afterAutospacing="0"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9.3如甲方使用上述货物构成对第三人侵权的，则由乙方承担全部责任。</w:t>
      </w:r>
      <w:r/>
    </w:p>
    <w:p>
      <w:pPr>
        <w:ind w:firstLine="482"/>
        <w:jc w:val="left"/>
        <w:keepLines w:val="0"/>
        <w:keepNext w:val="0"/>
        <w:pageBreakBefore w:val="0"/>
        <w:spacing w:beforeAutospacing="0" w:afterAutospacing="0"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10.知识产权保护</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10.1乙方对其所销售的货物应当享有知识产权或经权利人合法授权，保证没有侵犯任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99"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99"/>
      <w:r>
        <w:rPr>
          <w:rFonts w:hint="eastAsia" w:ascii="宋体" w:hAnsi="宋体" w:eastAsia="宋体" w:cs="宋体"/>
          <w:sz w:val="24"/>
          <w:szCs w:val="24"/>
          <w:highlight w:val="none"/>
        </w:rPr>
        <w:t xml:space="preserve">。</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11.保密义务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12.合同价款支付</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12.1合同价款支付按照国库集中支付制度及财政管理相关规定执行。</w:t>
      </w:r>
      <w:r/>
    </w:p>
    <w:p>
      <w:pPr>
        <w:pStyle w:val="687"/>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4"/>
          <w:highlight w:val="none"/>
        </w:rPr>
        <w:t xml:space="preserve">政府采购合同专用条款</w:t>
      </w:r>
      <w:r>
        <w:rPr>
          <w:rFonts w:hint="eastAsia" w:ascii="宋体" w:hAnsi="宋体" w:eastAsia="宋体" w:cs="宋体"/>
          <w:b w:val="0"/>
          <w:bCs w:val="0"/>
          <w:sz w:val="24"/>
          <w:szCs w:val="24"/>
          <w:highlight w:val="none"/>
        </w:rPr>
        <w:t xml:space="preserve">】中约定。</w:t>
      </w:r>
      <w:r/>
    </w:p>
    <w:p>
      <w:pPr>
        <w:pStyle w:val="700"/>
        <w:ind w:firstLine="482"/>
        <w:keepLines w:val="0"/>
        <w:keepNext w:val="0"/>
        <w:pageBreakBefore w:val="0"/>
        <w:spacing w:beforeAutospacing="0" w:after="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13.履约保证金</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13.1乙方应当以支票、汇票、本票或者金融机构、担保机构出具的保函等非现金形式提交。</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14.</w:t>
      </w:r>
      <w:r>
        <w:rPr>
          <w:rFonts w:hint="eastAsia" w:ascii="宋体" w:hAnsi="宋体" w:eastAsia="宋体" w:cs="宋体"/>
          <w:b/>
          <w:sz w:val="24"/>
          <w:szCs w:val="24"/>
          <w:highlight w:val="none"/>
        </w:rPr>
        <w:t xml:space="preserve">售后服务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14.1除项目不涉及或采购活动中明确约定无须承担外，乙方还应提供下列服务：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（1）货物的现场移动、安装、调试、启动监督及技术支持；</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（2）提供货物组装和维修所需的专用工具和辅助材料；</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pStyle w:val="884"/>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14.2乙方提供的售后服务的费用已包含在合同价款中，甲方不再另行支付。</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15.违约责任</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15.1质量瑕疵的违约责任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15.2迟延交货的违约责任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15.3迟延支付的违约责任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2"/>
        </w:num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合同变更、中止与终止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16.1合同的变更</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16.2合同的中止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16.3合同的终止</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（1）合同因有效期限届满而终止；</w:t>
      </w:r>
      <w:r/>
    </w:p>
    <w:p>
      <w:pPr>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pStyle w:val="884"/>
        <w:ind w:firstLine="480"/>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w:t>
      </w:r>
      <w:r>
        <w:rPr>
          <w:rFonts w:hint="eastAsia" w:ascii="宋体" w:hAnsi="宋体" w:eastAsia="宋体" w:cs="宋体"/>
          <w:sz w:val="24"/>
          <w:szCs w:val="24"/>
          <w:highlight w:val="none"/>
        </w:rPr>
        <w:t xml:space="preserve">涉及国家利益、社会公共利益的情形</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17.合同分包</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17.1乙方不得将合同转包给其他供应商。涉及合同分包的，乙方应根据采购文件和投标（响应）文件规定进行合同分包。</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18.不可抗力</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18.1不可抗力是指合同双方不能预见、不能避免且不能克服的客观情况。</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18.2任何一方对由于不可抗力造成的部分或全部不能履行合同不承担违约责任。但迟延履行后发生不可抗力的，不能免除责任。</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19.解决争议的方法</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19.3如甲乙双方有争议的事项不影响合同其他部分的履行，在争议解决期间，合同其他部分应当继续履行。</w:t>
      </w:r>
      <w:r/>
    </w:p>
    <w:p>
      <w:pPr>
        <w:ind w:firstLine="482"/>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20.政府采购政策</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w:t>
      </w:r>
      <w:r>
        <w:rPr>
          <w:rFonts w:hint="eastAsia" w:ascii="宋体" w:hAnsi="宋体" w:eastAsia="宋体" w:cs="宋体"/>
          <w:sz w:val="24"/>
          <w:szCs w:val="24"/>
          <w:highlight w:val="none"/>
          <w:lang w:val="en-GB"/>
        </w:rPr>
        <w:t xml:space="preserve">本合同应当按照规定执行政府采购政策。</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pStyle w:val="700"/>
        <w:ind w:firstLine="480"/>
        <w:keepLines w:val="0"/>
        <w:keepNext w:val="0"/>
        <w:pageBreakBefore w:val="0"/>
        <w:spacing w:beforeAutospacing="0" w:after="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21.法律适用</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21.1本合同的订立、生效、解释、履行及与本合同有关的争议解决，均适用法律、行政法规。</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21.2本合同条款与法律、行政法规的强制性规定不一致的，双方当事人应按照法律、行政法规的强制性规定修改本合同的相关条款。</w:t>
      </w:r>
      <w:r/>
    </w:p>
    <w:p>
      <w:pPr>
        <w:ind w:firstLine="482"/>
        <w:jc w:val="left"/>
        <w:keepLines w:val="0"/>
        <w:keepNext w:val="0"/>
        <w:pageBreakBefore w:val="0"/>
        <w:spacing w:beforeAutospacing="0" w:afterAutospacing="0"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22.通知</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pStyle w:val="884"/>
        <w:ind w:firstLine="480"/>
        <w:jc w:val="both"/>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0"/>
        </w:numPr>
        <w:ind w:left="0" w:firstLine="482"/>
        <w:jc w:val="left"/>
        <w:keepLines w:val="0"/>
        <w:keepNext w:val="0"/>
        <w:pageBreakBefore w:val="0"/>
        <w:spacing w:beforeAutospacing="0" w:afterAutospacing="0"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23.</w:t>
      </w:r>
      <w:r>
        <w:rPr>
          <w:rFonts w:hint="eastAsia" w:ascii="宋体" w:hAnsi="宋体" w:eastAsia="宋体" w:cs="宋体"/>
          <w:b/>
          <w:bCs/>
          <w:sz w:val="24"/>
          <w:szCs w:val="24"/>
          <w:highlight w:val="none"/>
        </w:rPr>
        <w:t xml:space="preserve">合同未尽事项</w:t>
      </w:r>
      <w:r/>
    </w:p>
    <w:p>
      <w:pPr>
        <w:ind w:firstLine="480"/>
        <w:jc w:val="left"/>
        <w:keepLines w:val="0"/>
        <w:keepNext w:val="0"/>
        <w:pageBreakBefore w:val="0"/>
        <w:spacing w:beforeAutospacing="0" w:afterAutospacing="0" w:line="5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ind w:firstLine="480"/>
        <w:jc w:val="left"/>
        <w:keepLines w:val="0"/>
        <w:keepNext w:val="0"/>
        <w:pageBreakBefore w:val="0"/>
        <w:spacing w:beforeAutospacing="0" w:afterAutospacing="0"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23.2合同附件与合同正文具有同等的法律效力。</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clear="all"/>
      </w:r>
      <w:r/>
    </w:p>
    <w:p>
      <w:pPr>
        <w:pStyle w:val="718"/>
        <w:numPr>
          <w:ilvl w:val="0"/>
          <w:numId w:val="0"/>
        </w:numPr>
        <w:jc w:val="center"/>
        <w:keepLines w:val="0"/>
        <w:keepNext w:val="0"/>
        <w:pageBreakBefore w:val="0"/>
        <w:spacing w:beforeAutospacing="0" w:afterAutospacing="0" w:line="360" w:lineRule="auto"/>
        <w:widowControl w:val="off"/>
        <w:rPr>
          <w:rFonts w:hint="eastAsia" w:ascii="方正小标宋简体" w:hAnsi="方正小标宋简体" w:eastAsia="方正小标宋简体" w:cs="方正小标宋简体"/>
          <w:sz w:val="36"/>
          <w:szCs w:val="36"/>
          <w:lang w:val="en-US" w:eastAsia="zh-CN" w:bidi="ar-SA"/>
        </w:rPr>
        <w:outlineLvl w:val="0"/>
      </w:pPr>
      <w:r>
        <w:rPr>
          <w:rFonts w:hint="eastAsia" w:ascii="方正小标宋简体" w:hAnsi="方正小标宋简体" w:eastAsia="方正小标宋简体" w:cs="方正小标宋简体"/>
          <w:sz w:val="36"/>
          <w:szCs w:val="36"/>
          <w:lang w:val="en-US" w:eastAsia="zh-CN" w:bidi="ar-SA"/>
        </w:rPr>
        <w:t xml:space="preserve">第三节政府采购合同专用条款</w:t>
      </w:r>
      <w:r/>
    </w:p>
    <w:tbl>
      <w:tblPr>
        <w:tblStyle w:val="696"/>
        <w:tblW w:w="96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62"/>
        <w:gridCol w:w="2133"/>
        <w:gridCol w:w="5812"/>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条款号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条款内容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第1.2（6）项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联合体具体要求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第1.2（7）项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其他术语解释</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第4.4款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验收异议期限</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0000ff"/>
                <w:sz w:val="21"/>
                <w:szCs w:val="21"/>
                <w:u w:val="none"/>
                <w:lang w:val="en-US"/>
              </w:rPr>
              <w:suppressLineNumbers w:val="0"/>
            </w:pPr>
            <w:r>
              <w:rPr>
                <w:rFonts w:hint="eastAsia" w:ascii="宋体" w:hAnsi="宋体" w:eastAsia="宋体" w:cs="宋体"/>
                <w:i w:val="0"/>
                <w:iCs w:val="0"/>
                <w:color w:val="0000ff"/>
                <w:sz w:val="21"/>
                <w:szCs w:val="21"/>
                <w:u w:val="none"/>
                <w:lang w:val="en-US" w:eastAsia="zh-CN" w:bidi="ar"/>
              </w:rPr>
              <w:t xml:space="preserve">15个工作日内</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第4.6款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甲方其他义务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按月核对供应数量金额，按约定及时付款</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第5.4款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乙方其他义务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须具备合规汽油、柴油储存条件的油库（自有或租赁）；危化品运输/储存/加注全流程合规；0 号柴油与 95 号汽油不混装、混运、混加</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第6.1款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履行顺序</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乙方缴履约保证金→甲方付预付款→乙方按通知供货→验收→甲方付款</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包装特殊要求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指定现场</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滨海县境内采购人指定地点</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运输特殊要求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lang w:val="en-US" w:eastAsia="zh-CN" w:bidi="ar"/>
              </w:rPr>
              <w:t xml:space="preserve">1.</w:t>
            </w:r>
            <w:r>
              <w:rPr>
                <w:rFonts w:hint="eastAsia" w:ascii="宋体" w:hAnsi="宋体" w:eastAsia="宋体" w:cs="宋体"/>
                <w:i w:val="0"/>
                <w:iCs w:val="0"/>
                <w:color w:val="0000ff"/>
                <w:sz w:val="21"/>
                <w:szCs w:val="21"/>
                <w:u w:val="none"/>
                <w:lang w:val="en-US" w:eastAsia="zh-CN" w:bidi="ar"/>
              </w:rPr>
              <w:t xml:space="preserve">具备危化品道路运输资质，专用车辆，作业人员持证；</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2.</w:t>
            </w:r>
            <w:r>
              <w:rPr>
                <w:rFonts w:hint="eastAsia" w:ascii="宋体" w:hAnsi="宋体" w:eastAsia="宋体" w:cs="宋体"/>
                <w:i w:val="0"/>
                <w:iCs w:val="0"/>
                <w:color w:val="0000ff"/>
                <w:sz w:val="21"/>
                <w:szCs w:val="21"/>
                <w:u w:val="none"/>
                <w:lang w:val="en-US" w:eastAsia="zh-CN" w:bidi="ar"/>
              </w:rPr>
              <w:t xml:space="preserve">不混装混运；</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3.</w:t>
            </w:r>
            <w:r>
              <w:rPr>
                <w:rFonts w:hint="eastAsia" w:ascii="宋体" w:hAnsi="宋体" w:eastAsia="宋体" w:cs="宋体"/>
                <w:i w:val="0"/>
                <w:iCs w:val="0"/>
                <w:color w:val="0000ff"/>
                <w:sz w:val="21"/>
                <w:szCs w:val="21"/>
                <w:u w:val="none"/>
                <w:lang w:val="en-US" w:eastAsia="zh-CN" w:bidi="ar"/>
              </w:rPr>
              <w:t xml:space="preserve">配送前 24 小时通知甲方；</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lang w:val="en-US" w:eastAsia="zh-CN" w:bidi="ar-SA"/>
              </w:rPr>
              <w:t xml:space="preserve">4.</w:t>
            </w:r>
            <w:r>
              <w:rPr>
                <w:rFonts w:hint="eastAsia" w:ascii="宋体" w:hAnsi="宋体" w:eastAsia="宋体" w:cs="宋体"/>
                <w:i w:val="0"/>
                <w:iCs w:val="0"/>
                <w:color w:val="0000ff"/>
                <w:sz w:val="21"/>
                <w:szCs w:val="21"/>
                <w:u w:val="none"/>
                <w:lang w:val="en-US" w:eastAsia="zh-CN" w:bidi="ar"/>
              </w:rPr>
              <w:t xml:space="preserve">交付前风险由乙方承担。</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第7.3款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保险要求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0000ff"/>
                <w:spacing w:val="0"/>
                <w:sz w:val="21"/>
                <w:szCs w:val="21"/>
                <w:u w:val="none"/>
                <w:lang w:val="en-US" w:eastAsia="zh-CN" w:bidi="ar"/>
              </w:rPr>
              <w:suppressLineNumbers w:val="0"/>
            </w:pPr>
            <w:r>
              <w:rPr>
                <w:rFonts w:hint="eastAsia" w:ascii="宋体" w:hAnsi="宋体" w:eastAsia="宋体" w:cs="宋体"/>
                <w:i w:val="0"/>
                <w:iCs w:val="0"/>
                <w:color w:val="0000ff"/>
                <w:spacing w:val="9"/>
                <w:sz w:val="21"/>
                <w:szCs w:val="21"/>
                <w:u w:val="none"/>
                <w:lang w:val="en-US" w:eastAsia="zh-CN" w:bidi="ar"/>
              </w:rPr>
              <w:t xml:space="preserve">乙方承担油品储存、运输、加注全程保险。         </w:t>
            </w:r>
            <w:r>
              <w:rPr>
                <w:rFonts w:hint="eastAsia" w:ascii="宋体" w:hAnsi="宋体" w:eastAsia="宋体" w:cs="宋体"/>
                <w:i w:val="0"/>
                <w:iCs w:val="0"/>
                <w:color w:val="0000ff"/>
                <w:spacing w:val="0"/>
                <w:sz w:val="21"/>
                <w:szCs w:val="21"/>
                <w:u w:val="none"/>
                <w:lang w:val="en-US" w:eastAsia="zh-CN" w:bidi="ar"/>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第8.2（1）项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质量保证期</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lang w:val="en-US" w:eastAsia="zh-CN" w:bidi="ar"/>
              </w:rPr>
              <w:suppressLineNumbers w:val="0"/>
            </w:pPr>
            <w:r>
              <w:rPr>
                <w:rFonts w:hint="eastAsia" w:ascii="宋体" w:hAnsi="宋体" w:eastAsia="宋体" w:cs="宋体"/>
                <w:i w:val="0"/>
                <w:iCs w:val="0"/>
                <w:color w:val="0000ff"/>
                <w:sz w:val="21"/>
                <w:szCs w:val="21"/>
                <w:u w:val="none"/>
                <w:lang w:val="en-US" w:eastAsia="zh-CN" w:bidi="ar"/>
              </w:rPr>
              <w:t xml:space="preserve">本项目不涉及（一次性油品，按国家强制标准验收）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第8.2（3）项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质量缺陷响应时间</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品使用期间出现质量问题，甲方通知乙方后，到场处置时限按如下执行：正常工作时段，乙方接通知后2小时内抵达甲方现场；夜间或突发应急场景，乙方需30分钟内完成远程响应，并于4小时内赶赴现场。乙方到达现场后，应在48 小时内完成问题处置。因恶劣天气、交通管制、危险化学品运输限行等不可抗力致使乙方无法按期到场的，不认定乙方违约，乙方应在障碍消除后第一时间赶赴现场处置。</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第8款补充</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质量保证要求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1.符合GB 19147-2016、GB 17930-2016；</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2.每批次提供出厂检验合格报告；</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3.全新合格正品；</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4.甲方有权抽样检验，不合格拒收。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第11.1款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其他应当保密的信息</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采购价格、供应计划、甲方用油信息</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第12.2款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合同价款支付时间及要求</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预付款：合同签订且乙方缴纳履约保证金后，甲方支付最高限价×30%作为预付款。在签订合同时，中标、成交供应商明确书面表示无需预付款或者主动要求降低预付款比例的，采购人可就预付款比例作相应调整。</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进度款：甲乙双方按月核对当期实际供应油品的数量、金额，甲方按季度支付已核对确认的累计结算款项。</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尾款：项目最后一次供应完成并验收合格后，甲方从应付结算总金额中一次性扣除已支付预付款，按剩余余额完成最终支付。</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结算单价 = 江苏省发改委当日零售价 ×(1-投标优惠率)，据实结算且不超过最高限价。</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付款要求：乙方每次申请付款前，须向甲方提供合法有效的增值税发票及当期供应验收单、结算单等付款凭证。</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第13.2款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履约保证金不予退还的情形</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除不可抗力情况外，投标人出现下列情形之一的，其履约保证金，招标人将视情节决定不予退还或部分不予退还。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（1）中标人无正当理由拒绝签订合同的，或者在签订合同时向采购人提出附加条件或者更改合同实质性内容要求的；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（2）中标人不履行与采购人订立的合同的；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（3）中标人所供货物或服务不符合招标文件规定要求的；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（4）中标人采取欺骗、弄虚作假方式投标的或与其他投标人串通投标的；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（5）中标人将合同内容转包、违法分包的；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（6）中标人故意捏造事实或伪造证明材料，进行虚假恶意投诉或反映的。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ff"/>
                <w:sz w:val="21"/>
                <w:szCs w:val="21"/>
                <w:u w:val="none"/>
                <w:lang w:val="en-US" w:eastAsia="zh-CN" w:bidi="ar"/>
              </w:rPr>
              <w:t xml:space="preserve">油品质量不合格、混装混运。</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第13.3款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履约保证金退还时间及逾期退还的违约金</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1、合同履行结束后，甲方应及时退还交纳的履约保证金。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2、退还方式：退还至投标人缴纳履约保证金的账户。如为保函，在到期时自行失效。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3、退还时间：验收合格且甲方收到发票后30日内。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4、退还条件：按合同要求全部履约完成并经采购人验收合格，且采购人收到中标人出具的发票。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第14.1（3）项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运行维修期限</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14.1（5）项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货物回收</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本项目不涉及</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14.1（6）项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其他服务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油品专业加注、安全防护</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15.1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修理、重做、更换相关具体规定</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1、详见合同通用条款8.2条款、合同专用条款第二节第8款补充条款及合同专用条款中索赔条款。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第15.2（2）项</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迟延交货赔偿费</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1.乙方应按照“开标（报价）一览表”中规定的交货期或承诺交货和提供服务，并交付甲方验收使用。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2.如果乙方无正当理由拖延交货，将受到以下制裁：加收误期赔偿或终止合同。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乙方逾期交付货物的，乙方应按逾期交货总额每日0.5‰向甲方支付违约金，由甲方从待付货款中扣除。逾期超过约定日期7  个工作日不能交货的，甲方可解除本合同。乙方因逾期交货或因其他违约行为导致甲方解除合同的，乙方应向甲方支付合同总值</w:t>
            </w:r>
            <w:r>
              <w:rPr>
                <w:rStyle w:val="883"/>
                <w:sz w:val="21"/>
                <w:szCs w:val="21"/>
                <w:u w:val="single"/>
                <w:lang w:val="en-US" w:eastAsia="zh-CN" w:bidi="ar"/>
              </w:rPr>
              <w:t xml:space="preserve">    </w:t>
            </w:r>
            <w:r>
              <w:rPr>
                <w:rStyle w:val="885"/>
                <w:sz w:val="21"/>
                <w:szCs w:val="21"/>
                <w:u w:val="single"/>
                <w:lang w:val="en-US" w:eastAsia="zh-CN" w:bidi="ar"/>
              </w:rPr>
              <w:t xml:space="preserve"> </w:t>
            </w:r>
            <w:r>
              <w:rPr>
                <w:rStyle w:val="885"/>
                <w:sz w:val="21"/>
                <w:szCs w:val="21"/>
                <w:lang w:val="en-US" w:eastAsia="zh-CN" w:bidi="ar"/>
              </w:rPr>
              <w:t xml:space="preserve">的违约金，如造成甲方损失超过违约金的，超出部分由乙方继续承担赔偿责任。 </w:t>
            </w:r>
            <w:r>
              <w:rPr>
                <w:rStyle w:val="885"/>
                <w:sz w:val="21"/>
                <w:szCs w:val="21"/>
                <w:lang w:val="en-US" w:eastAsia="zh-CN" w:bidi="ar"/>
              </w:rPr>
              <w:br/>
            </w:r>
            <w:r>
              <w:rPr>
                <w:rStyle w:val="885"/>
                <w:sz w:val="21"/>
                <w:szCs w:val="21"/>
                <w:lang w:val="en-US" w:eastAsia="zh-CN" w:bidi="ar"/>
              </w:rPr>
              <w:t xml:space="preserve">4.如乙方不能交付货物，或者有违法转包他人情形，乙方应向甲方支付合同总价</w:t>
            </w:r>
            <w:r>
              <w:rPr>
                <w:rStyle w:val="883"/>
                <w:sz w:val="21"/>
                <w:szCs w:val="21"/>
                <w:u w:val="single"/>
                <w:lang w:val="en-US" w:eastAsia="zh-CN" w:bidi="ar"/>
              </w:rPr>
              <w:t xml:space="preserve">    </w:t>
            </w:r>
            <w:r>
              <w:rPr>
                <w:rStyle w:val="885"/>
                <w:sz w:val="21"/>
                <w:szCs w:val="21"/>
                <w:u w:val="single"/>
                <w:lang w:val="en-US" w:eastAsia="zh-CN" w:bidi="ar"/>
              </w:rPr>
              <w:t xml:space="preserve"> </w:t>
            </w:r>
            <w:r>
              <w:rPr>
                <w:rStyle w:val="885"/>
                <w:sz w:val="21"/>
                <w:szCs w:val="21"/>
                <w:lang w:val="en-US" w:eastAsia="zh-CN" w:bidi="ar"/>
              </w:rPr>
              <w:t xml:space="preserve">的滞纳金。</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15.3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逾期付款利息</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1.甲方无正当理由拒收货物的，甲方向乙方偿付拒收货款总值</w:t>
            </w:r>
            <w:r>
              <w:rPr>
                <w:rFonts w:hint="eastAsia" w:ascii="宋体" w:hAnsi="宋体" w:eastAsia="宋体" w:cs="宋体"/>
                <w:i w:val="0"/>
                <w:iCs w:val="0"/>
                <w:color w:val="0000ff"/>
                <w:sz w:val="21"/>
                <w:szCs w:val="21"/>
                <w:u w:val="single"/>
                <w:lang w:val="en-US" w:eastAsia="zh-CN" w:bidi="ar"/>
              </w:rPr>
              <w:t xml:space="preserve">0.5‰</w:t>
            </w:r>
            <w:r>
              <w:rPr>
                <w:rFonts w:hint="eastAsia" w:ascii="宋体" w:hAnsi="宋体" w:eastAsia="宋体" w:cs="宋体"/>
                <w:i w:val="0"/>
                <w:iCs w:val="0"/>
                <w:color w:val="000000"/>
                <w:sz w:val="21"/>
                <w:szCs w:val="21"/>
                <w:u w:val="none"/>
                <w:lang w:val="en-US" w:eastAsia="zh-CN" w:bidi="ar"/>
              </w:rPr>
              <w:t xml:space="preserve">的违约金。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2.甲方无故逾期验收和办理货款支付手续的,甲方应按逾期付款总额每日</w:t>
            </w:r>
            <w:r>
              <w:rPr>
                <w:rFonts w:hint="eastAsia" w:ascii="宋体" w:hAnsi="宋体" w:eastAsia="宋体" w:cs="宋体"/>
                <w:i w:val="0"/>
                <w:iCs w:val="0"/>
                <w:color w:val="0000ff"/>
                <w:sz w:val="21"/>
                <w:szCs w:val="21"/>
                <w:u w:val="single"/>
                <w:lang w:val="en-US" w:eastAsia="zh-CN" w:bidi="ar"/>
              </w:rPr>
              <w:t xml:space="preserve">0.5‰</w:t>
            </w:r>
            <w:r>
              <w:rPr>
                <w:rFonts w:hint="eastAsia" w:ascii="宋体" w:hAnsi="宋体" w:eastAsia="宋体" w:cs="宋体"/>
                <w:i w:val="0"/>
                <w:iCs w:val="0"/>
                <w:color w:val="000000"/>
                <w:sz w:val="21"/>
                <w:szCs w:val="21"/>
                <w:u w:val="none"/>
                <w:lang w:val="en-US" w:eastAsia="zh-CN" w:bidi="ar"/>
              </w:rPr>
              <w:t xml:space="preserve">向乙方支付违约金。</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第15.4款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其他违约责任</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第二节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第 19.2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争议解决</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1.因本合同及合同有关事项发生的争议，由双方协商解决，协商不成时，按下列第 2 种方式解决：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（1）向仲裁委员会申请仲裁，仲裁地点为 </w:t>
            </w:r>
            <w:r>
              <w:rPr>
                <w:rFonts w:hint="eastAsia" w:ascii="宋体" w:hAnsi="宋体" w:eastAsia="宋体" w:cs="宋体"/>
                <w:i w:val="0"/>
                <w:iCs w:val="0"/>
                <w:color w:val="000000"/>
                <w:sz w:val="21"/>
                <w:szCs w:val="21"/>
                <w:u w:val="single"/>
                <w:lang w:val="en-US" w:eastAsia="zh-CN" w:bidi="ar"/>
              </w:rPr>
              <w:t xml:space="preserve">  /  </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（2）向甲方所在地人民法院起诉。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纠纷解决办法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第 23.1 款</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其他专用条款</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ff"/>
                <w:sz w:val="21"/>
                <w:szCs w:val="21"/>
                <w:u w:val="none"/>
                <w:lang w:val="en-US" w:eastAsia="zh-CN" w:bidi="ar"/>
              </w:rPr>
              <w:t xml:space="preserve">1.结算总额不超过最高限价；</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2.油品运输、加注期间乙方承担安全事故全部责任；</w:t>
            </w:r>
            <w:r>
              <w:rPr>
                <w:rFonts w:hint="eastAsia" w:ascii="宋体" w:hAnsi="宋体" w:eastAsia="宋体" w:cs="宋体"/>
                <w:i w:val="0"/>
                <w:iCs w:val="0"/>
                <w:color w:val="0000ff"/>
                <w:sz w:val="21"/>
                <w:szCs w:val="21"/>
                <w:u w:val="none"/>
                <w:lang w:val="en-US" w:eastAsia="zh-CN" w:bidi="ar"/>
              </w:rPr>
              <w:br/>
            </w:r>
            <w:r>
              <w:rPr>
                <w:rFonts w:hint="eastAsia" w:ascii="宋体" w:hAnsi="宋体" w:eastAsia="宋体" w:cs="宋体"/>
                <w:i w:val="0"/>
                <w:iCs w:val="0"/>
                <w:color w:val="0000ff"/>
                <w:sz w:val="21"/>
                <w:szCs w:val="21"/>
                <w:u w:val="none"/>
                <w:lang w:val="en-US" w:eastAsia="zh-CN" w:bidi="ar"/>
              </w:rPr>
              <w:t xml:space="preserve">3. 验收不合格 3 日内更换，逾期按违约处理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税费</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1.中国政府根据现行税法规定对甲方征收的与本合同有关的一切税费均由甲方负担（免税部分除外），招标文件另有规定的除外。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2.中国政府根据现行税法规定对乙方征收的与本合同有关的一切税费均由乙方负担（免税部分除外）。</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伴随服务</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油品配送、加注、安全防护</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索赔</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油品不合格乙方退货、降价或更换，承担全部损失</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合同生效</w:t>
            </w:r>
            <w:r/>
          </w:p>
        </w:tc>
        <w:tc>
          <w:tcPr>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合同经甲方、乙方盖章后生效。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货物交付使用后所发生的合同纠纷，由甲方与乙方协商处理。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4.本合同应按照中华人民共和国的现行法律进行解释。本合同未尽事宜，遵照《中华人民共和国民法典》、《中华人民共和国政府采购法》等有关条文执行。</w:t>
            </w:r>
            <w:r/>
          </w:p>
        </w:tc>
      </w:tr>
    </w:tbl>
    <w:p>
      <w:pPr>
        <w:pStyle w:val="718"/>
        <w:numPr>
          <w:ilvl w:val="0"/>
          <w:numId w:val="0"/>
        </w:numPr>
        <w:jc w:val="center"/>
        <w:keepLines w:val="0"/>
        <w:keepNext w:val="0"/>
        <w:pageBreakBefore w:val="0"/>
        <w:spacing w:beforeAutospacing="0" w:afterAutospacing="0" w:line="360" w:lineRule="auto"/>
        <w:widowControl w:val="off"/>
        <w:rPr>
          <w:rFonts w:hint="eastAsia" w:ascii="方正小标宋简体" w:hAnsi="方正小标宋简体" w:eastAsia="方正小标宋简体" w:cs="方正小标宋简体"/>
          <w:color w:val="auto"/>
          <w:sz w:val="44"/>
          <w:szCs w:val="44"/>
          <w:highlight w:val="none"/>
        </w:rPr>
        <w:outlineLvl w:val="0"/>
      </w:pPr>
      <w:r>
        <w:rPr>
          <w:rFonts w:hint="eastAsia" w:ascii="黑体" w:hAnsi="宋体" w:eastAsia="黑体" w:cs="黑体"/>
          <w:color w:val="auto"/>
          <w:sz w:val="24"/>
          <w:szCs w:val="24"/>
          <w:highlight w:val="none"/>
        </w:rPr>
        <w:br w:type="page" w:clear="all"/>
      </w:r>
      <w:bookmarkStart w:id="200" w:name="_Toc24312"/>
      <w:r/>
      <w:bookmarkStart w:id="201" w:name="_Toc11181"/>
      <w:r>
        <w:rPr>
          <w:rFonts w:hint="eastAsia" w:ascii="方正小标宋简体" w:hAnsi="方正小标宋简体" w:eastAsia="方正小标宋简体" w:cs="方正小标宋简体"/>
          <w:color w:val="auto"/>
          <w:sz w:val="44"/>
          <w:szCs w:val="44"/>
          <w:highlight w:val="none"/>
        </w:rPr>
        <w:t xml:space="preserve"> 第</w:t>
      </w:r>
      <w:bookmarkEnd w:id="188"/>
      <w:r>
        <w:rPr>
          <w:rFonts w:hint="eastAsia" w:ascii="方正小标宋简体" w:hAnsi="方正小标宋简体" w:eastAsia="方正小标宋简体" w:cs="方正小标宋简体"/>
          <w:color w:val="auto"/>
          <w:sz w:val="44"/>
          <w:szCs w:val="44"/>
          <w:highlight w:val="none"/>
        </w:rPr>
        <w:t xml:space="preserve">四章 采购需求</w:t>
      </w:r>
      <w:bookmarkEnd w:id="189"/>
      <w:r/>
      <w:bookmarkEnd w:id="190"/>
      <w:r/>
      <w:bookmarkEnd w:id="191"/>
      <w:r/>
      <w:bookmarkEnd w:id="192"/>
      <w:r/>
      <w:bookmarkEnd w:id="193"/>
      <w:r/>
      <w:bookmarkEnd w:id="200"/>
      <w:r/>
      <w:bookmarkEnd w:id="201"/>
      <w:r/>
      <w:r/>
    </w:p>
    <w:p>
      <w:pPr>
        <w:ind w:left="0" w:firstLine="482"/>
        <w:jc w:val="center"/>
        <w:keepLines w:val="0"/>
        <w:keepNext w:val="0"/>
        <w:pageBreakBefore w:val="0"/>
        <w:spacing w:before="0" w:after="0" w:line="520" w:lineRule="exact"/>
        <w:rPr>
          <w:rFonts w:hint="eastAsia" w:ascii="仿宋" w:hAnsi="仿宋" w:eastAsia="仿宋" w:cs="仿宋"/>
          <w:b/>
          <w:bCs/>
          <w:color w:val="000000" w:themeColor="text1"/>
          <w:sz w:val="24"/>
          <w:szCs w:val="24"/>
          <w:highlight w:val="none"/>
        </w:rPr>
        <w:outlineLvl w:val="1"/>
      </w:pPr>
      <w:r>
        <w:rPr>
          <w:color w:val="000000" w:themeColor="text1"/>
        </w:rPr>
      </w:r>
      <w:bookmarkStart w:id="202" w:name="_Toc3556"/>
      <w:r>
        <w:rPr>
          <w:rFonts w:hint="eastAsia" w:ascii="仿宋" w:hAnsi="仿宋" w:eastAsia="仿宋" w:cs="仿宋"/>
          <w:b/>
          <w:bCs/>
          <w:color w:val="000000" w:themeColor="text1"/>
          <w:sz w:val="24"/>
          <w:szCs w:val="24"/>
          <w:highlight w:val="none"/>
          <w:lang w:val="en-US" w:eastAsia="zh-CN" w:bidi="ar-SA"/>
        </w:rPr>
        <w:t xml:space="preserve">项目属性:服务类项目</w:t>
      </w:r>
      <w:bookmarkEnd w:id="202"/>
      <w:r>
        <w:rPr>
          <w:color w:val="000000" w:themeColor="text1"/>
        </w:rPr>
      </w:r>
      <w:r/>
    </w:p>
    <w:p>
      <w:pPr>
        <w:ind w:left="0" w:firstLine="482"/>
        <w:keepLines w:val="0"/>
        <w:keepNext w:val="0"/>
        <w:pageBreakBefore w:val="0"/>
        <w:spacing w:line="480" w:lineRule="exact"/>
        <w:widowControl w:val="off"/>
        <w:rPr>
          <w:rFonts w:hint="eastAsia" w:ascii="仿宋" w:hAnsi="仿宋" w:eastAsia="仿宋" w:cs="仿宋"/>
          <w:b/>
          <w:bCs/>
          <w:color w:val="000000" w:themeColor="text1"/>
          <w:sz w:val="24"/>
          <w:szCs w:val="24"/>
          <w:highlight w:val="none"/>
        </w:rPr>
      </w:pPr>
      <w:r>
        <w:rPr>
          <w:color w:val="000000" w:themeColor="text1"/>
        </w:rPr>
      </w:r>
      <w:bookmarkStart w:id="203" w:name="_Toc12569"/>
      <w:r>
        <w:rPr>
          <w:rFonts w:hint="eastAsia" w:ascii="仿宋" w:hAnsi="仿宋" w:eastAsia="仿宋" w:cs="仿宋"/>
          <w:b/>
          <w:bCs/>
          <w:color w:val="000000" w:themeColor="text1"/>
          <w:sz w:val="24"/>
          <w:szCs w:val="24"/>
          <w:highlight w:val="none"/>
        </w:rPr>
        <w:t xml:space="preserve">一、项目基本信息</w:t>
      </w:r>
      <w:r>
        <w:rPr>
          <w:color w:val="000000" w:themeColor="text1"/>
        </w:rPr>
      </w:r>
      <w:r/>
    </w:p>
    <w:p>
      <w:pPr>
        <w:ind w:left="0"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1.项目名称：</w:t>
      </w:r>
      <w:r>
        <w:rPr>
          <w:rFonts w:hint="eastAsia" w:ascii="仿宋" w:hAnsi="仿宋" w:eastAsia="仿宋" w:cs="仿宋"/>
          <w:color w:val="000000" w:themeColor="text1"/>
          <w:sz w:val="24"/>
          <w:szCs w:val="24"/>
          <w:highlight w:val="none"/>
          <w:u w:val="single"/>
          <w:lang w:eastAsia="zh-CN"/>
        </w:rPr>
        <w:t xml:space="preserve">滨海县农业综合行政执法大队执法船柴油采购项目</w:t>
      </w:r>
      <w:r>
        <w:rPr>
          <w:color w:val="000000" w:themeColor="text1"/>
        </w:rPr>
      </w:r>
      <w:r/>
    </w:p>
    <w:p>
      <w:pPr>
        <w:ind w:left="0"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2.采购标的项目简述</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u w:val="single"/>
          <w:lang w:val="en-US" w:eastAsia="zh-CN"/>
        </w:rPr>
        <w:t xml:space="preserve">本项目为滨海县农业综合行政执法大队执法船只年度用油采购，采购内容包含0号柴油、95号汽油，根据采购人实际使用需求分批次分别配送至采购人指定地点，提供专业加注服务。</w:t>
      </w:r>
      <w:r>
        <w:rPr>
          <w:color w:val="000000" w:themeColor="text1"/>
        </w:rPr>
      </w:r>
      <w:r/>
    </w:p>
    <w:p>
      <w:pPr>
        <w:ind w:left="0"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预算金额：</w:t>
      </w:r>
      <w:r>
        <w:rPr>
          <w:rFonts w:hint="eastAsia" w:ascii="仿宋" w:hAnsi="仿宋" w:eastAsia="仿宋" w:cs="仿宋"/>
          <w:color w:val="000000" w:themeColor="text1"/>
          <w:sz w:val="24"/>
          <w:szCs w:val="24"/>
          <w:highlight w:val="none"/>
          <w:lang w:val="en-US" w:eastAsia="zh-CN"/>
        </w:rPr>
        <w:t xml:space="preserve">119.2</w:t>
      </w:r>
      <w:r>
        <w:rPr>
          <w:rFonts w:hint="eastAsia" w:ascii="仿宋" w:hAnsi="仿宋" w:eastAsia="仿宋" w:cs="仿宋"/>
          <w:color w:val="000000" w:themeColor="text1"/>
          <w:sz w:val="24"/>
          <w:szCs w:val="24"/>
          <w:highlight w:val="none"/>
        </w:rPr>
        <w:t xml:space="preserve">万元（其中</w:t>
      </w:r>
      <w:r>
        <w:rPr>
          <w:rFonts w:hint="eastAsia" w:ascii="仿宋" w:hAnsi="仿宋" w:eastAsia="仿宋" w:cs="仿宋"/>
          <w:color w:val="000000" w:themeColor="text1"/>
          <w:sz w:val="24"/>
          <w:szCs w:val="24"/>
          <w:highlight w:val="none"/>
          <w:lang w:val="en-US" w:eastAsia="zh-CN"/>
        </w:rPr>
        <w:t xml:space="preserve">柴油预算110万元</w:t>
      </w:r>
      <w:r>
        <w:rPr>
          <w:rFonts w:hint="eastAsia" w:ascii="仿宋" w:hAnsi="仿宋" w:eastAsia="仿宋" w:cs="仿宋"/>
          <w:color w:val="000000" w:themeColor="text1"/>
          <w:sz w:val="24"/>
          <w:szCs w:val="24"/>
          <w:highlight w:val="none"/>
        </w:rPr>
        <w:t xml:space="preserve">，</w:t>
      </w:r>
      <w:r>
        <w:rPr>
          <w:rFonts w:hint="eastAsia" w:ascii="仿宋" w:hAnsi="仿宋" w:eastAsia="仿宋" w:cs="仿宋"/>
          <w:color w:val="000000" w:themeColor="text1"/>
          <w:sz w:val="24"/>
          <w:szCs w:val="24"/>
          <w:highlight w:val="none"/>
          <w:lang w:val="en-US" w:eastAsia="zh-CN"/>
        </w:rPr>
        <w:t xml:space="preserve">95号汽油预算9.2万元</w:t>
      </w:r>
      <w:r>
        <w:rPr>
          <w:rFonts w:hint="eastAsia" w:ascii="仿宋" w:hAnsi="仿宋" w:eastAsia="仿宋" w:cs="仿宋"/>
          <w:color w:val="000000" w:themeColor="text1"/>
          <w:sz w:val="24"/>
          <w:szCs w:val="24"/>
          <w:highlight w:val="none"/>
        </w:rPr>
        <w:t xml:space="preserve">）</w:t>
      </w:r>
      <w:r>
        <w:rPr>
          <w:color w:val="000000" w:themeColor="text1"/>
        </w:rPr>
      </w:r>
      <w:r/>
    </w:p>
    <w:p>
      <w:pPr>
        <w:ind w:left="0"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rPr>
        <w:t xml:space="preserve">.项目地点：滨海县境内</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lang w:val="en-US" w:eastAsia="zh-CN"/>
        </w:rPr>
        <w:t xml:space="preserve">采购人指定地点</w:t>
      </w:r>
      <w:r>
        <w:rPr>
          <w:rFonts w:hint="eastAsia" w:ascii="仿宋" w:hAnsi="仿宋" w:eastAsia="仿宋" w:cs="仿宋"/>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480" w:lineRule="exact"/>
        <w:widowControl w:val="off"/>
        <w:rPr>
          <w:rFonts w:hint="default"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lang w:val="en-US" w:eastAsia="zh-CN"/>
        </w:rPr>
        <w:t xml:space="preserve">5.采购标的服务期要求：</w:t>
      </w:r>
      <w:r>
        <w:rPr>
          <w:rFonts w:hint="eastAsia" w:ascii="仿宋" w:hAnsi="仿宋" w:eastAsia="仿宋" w:cs="仿宋"/>
          <w:color w:val="000000" w:themeColor="text1"/>
          <w:sz w:val="24"/>
          <w:szCs w:val="24"/>
          <w:highlight w:val="none"/>
          <w:u w:val="single"/>
          <w:lang w:val="en-US" w:eastAsia="zh-CN"/>
        </w:rPr>
        <w:t xml:space="preserve">一年（自合同签订之日起）</w:t>
      </w:r>
      <w:r>
        <w:rPr>
          <w:color w:val="000000" w:themeColor="text1"/>
        </w:rPr>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rPr>
        <w:outlineLvl w:val="0"/>
      </w:pPr>
      <w:r>
        <w:rPr>
          <w:rFonts w:hint="eastAsia" w:ascii="仿宋" w:hAnsi="仿宋" w:eastAsia="仿宋" w:cs="仿宋"/>
          <w:color w:val="000000" w:themeColor="text1"/>
          <w:sz w:val="24"/>
          <w:szCs w:val="24"/>
          <w:highlight w:val="none"/>
          <w:lang w:val="en-US" w:eastAsia="zh-CN"/>
        </w:rPr>
        <w:t xml:space="preserve">6.付款方式：</w:t>
      </w:r>
      <w:r>
        <w:rPr>
          <w:rFonts w:hint="eastAsia" w:ascii="仿宋" w:hAnsi="仿宋" w:eastAsia="仿宋" w:cs="仿宋"/>
          <w:color w:val="000000" w:themeColor="text1"/>
          <w:sz w:val="24"/>
          <w:szCs w:val="24"/>
          <w:highlight w:val="none"/>
          <w:u w:val="single"/>
          <w:lang w:val="en-US" w:eastAsia="zh-CN"/>
        </w:rPr>
        <w:t xml:space="preserve">预付款：合同签订且乙方缴纳履约保证金后，甲方支付最高限价×30%作为预付款。在签订合同时，中标、成交供应商明确书面表示无需预付款或者主动要求降低预付款比例的，采购人可就预付款比例作相应调整。</w:t>
      </w:r>
      <w:r>
        <w:rPr>
          <w:color w:val="000000" w:themeColor="text1"/>
        </w:rPr>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rPr>
        <w:outlineLvl w:val="0"/>
      </w:pPr>
      <w:r>
        <w:rPr>
          <w:rFonts w:hint="eastAsia" w:ascii="仿宋" w:hAnsi="仿宋" w:eastAsia="仿宋" w:cs="仿宋"/>
          <w:color w:val="000000" w:themeColor="text1"/>
          <w:sz w:val="24"/>
          <w:szCs w:val="24"/>
          <w:highlight w:val="none"/>
          <w:u w:val="single"/>
          <w:lang w:val="en-US" w:eastAsia="zh-CN"/>
        </w:rPr>
        <w:t xml:space="preserve">进度款：甲乙双方按月核对当期实际供应油品的数量、金额，甲方按季度支付已核对确认的累计结算款项。</w:t>
      </w:r>
      <w:r>
        <w:rPr>
          <w:color w:val="000000" w:themeColor="text1"/>
        </w:rPr>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rPr>
        <w:outlineLvl w:val="0"/>
      </w:pPr>
      <w:r>
        <w:rPr>
          <w:rFonts w:hint="eastAsia" w:ascii="仿宋" w:hAnsi="仿宋" w:eastAsia="仿宋" w:cs="仿宋"/>
          <w:color w:val="000000" w:themeColor="text1"/>
          <w:sz w:val="24"/>
          <w:szCs w:val="24"/>
          <w:highlight w:val="none"/>
          <w:u w:val="single"/>
          <w:lang w:val="en-US" w:eastAsia="zh-CN"/>
        </w:rPr>
        <w:t xml:space="preserve">尾款：项目最后一次供应完成并验收合格后，甲方从应付结算总金额中一次性扣除已支付预付款，按剩余余额完成最终支付。</w:t>
      </w:r>
      <w:r>
        <w:rPr>
          <w:color w:val="000000" w:themeColor="text1"/>
        </w:rPr>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u w:val="single"/>
        </w:rPr>
        <w:outlineLvl w:val="0"/>
      </w:pPr>
      <w:r>
        <w:rPr>
          <w:rFonts w:hint="eastAsia" w:ascii="仿宋" w:hAnsi="仿宋" w:eastAsia="仿宋" w:cs="仿宋"/>
          <w:color w:val="000000" w:themeColor="text1"/>
          <w:sz w:val="24"/>
          <w:szCs w:val="24"/>
          <w:highlight w:val="none"/>
          <w:u w:val="single"/>
          <w:lang w:val="en-US" w:eastAsia="zh-CN"/>
        </w:rPr>
        <w:t xml:space="preserve">付款要求：乙方每次申请付款前，须向甲方提供合法有效的增值税发票及当期供应验收单、结算单等付款凭证。</w:t>
      </w:r>
      <w:r>
        <w:rPr>
          <w:color w:val="000000" w:themeColor="text1"/>
        </w:rPr>
      </w:r>
      <w:r/>
    </w:p>
    <w:p>
      <w:pPr>
        <w:ind w:left="0" w:firstLine="480"/>
        <w:keepLines w:val="0"/>
        <w:keepNext w:val="0"/>
        <w:pageBreakBefore w:val="0"/>
        <w:spacing w:line="520" w:lineRule="exact"/>
        <w:widowControl w:val="off"/>
        <w:rPr>
          <w:rFonts w:hint="default" w:ascii="仿宋" w:hAnsi="仿宋" w:eastAsia="仿宋" w:cs="仿宋"/>
          <w:color w:val="000000" w:themeColor="text1"/>
          <w:sz w:val="24"/>
          <w:szCs w:val="24"/>
          <w:highlight w:val="none"/>
          <w:u w:val="single"/>
        </w:rPr>
        <w:outlineLvl w:val="0"/>
      </w:pPr>
      <w:r>
        <w:rPr>
          <w:rFonts w:hint="default" w:ascii="仿宋" w:hAnsi="仿宋" w:eastAsia="仿宋" w:cs="仿宋"/>
          <w:color w:val="000000" w:themeColor="text1"/>
          <w:sz w:val="24"/>
          <w:szCs w:val="24"/>
          <w:highlight w:val="none"/>
          <w:u w:val="single"/>
          <w:lang w:val="en-US" w:eastAsia="zh-CN"/>
        </w:rPr>
        <w:t xml:space="preserve">结算单价 = 江苏省发改委当日零售价×(1-投标优惠率)，据实结算且不超过最高限价。</w:t>
      </w:r>
      <w:r>
        <w:rPr>
          <w:color w:val="000000" w:themeColor="text1"/>
        </w:rPr>
      </w:r>
      <w:r/>
    </w:p>
    <w:p>
      <w:pPr>
        <w:ind w:left="0" w:firstLine="482"/>
        <w:keepLines w:val="0"/>
        <w:keepNext w:val="0"/>
        <w:pageBreakBefore w:val="0"/>
        <w:spacing w:line="520" w:lineRule="exact"/>
        <w:widowControl w:val="off"/>
        <w:rPr>
          <w:rFonts w:hint="eastAsia" w:ascii="仿宋" w:hAnsi="仿宋" w:eastAsia="仿宋" w:cs="仿宋"/>
          <w:b/>
          <w:bCs/>
          <w:color w:val="000000" w:themeColor="text1"/>
          <w:sz w:val="24"/>
          <w:szCs w:val="24"/>
          <w:highlight w:val="none"/>
        </w:rPr>
        <w:outlineLvl w:val="0"/>
      </w:pPr>
      <w:r>
        <w:rPr>
          <w:rFonts w:hint="eastAsia" w:ascii="仿宋" w:hAnsi="仿宋" w:eastAsia="仿宋" w:cs="仿宋"/>
          <w:b/>
          <w:bCs/>
          <w:color w:val="000000" w:themeColor="text1"/>
          <w:sz w:val="24"/>
          <w:szCs w:val="24"/>
          <w:highlight w:val="none"/>
          <w:lang w:val="en-US" w:eastAsia="zh-CN"/>
        </w:rPr>
        <w:t xml:space="preserve">二、质量标准</w:t>
      </w:r>
      <w:r>
        <w:rPr>
          <w:color w:val="000000" w:themeColor="text1"/>
        </w:rPr>
      </w:r>
      <w:r/>
    </w:p>
    <w:p>
      <w:pPr>
        <w:ind w:left="0" w:firstLine="482"/>
        <w:keepLines w:val="0"/>
        <w:keepNext w:val="0"/>
        <w:pageBreakBefore w:val="0"/>
        <w:spacing w:line="520" w:lineRule="exact"/>
        <w:widowControl w:val="off"/>
        <w:rPr>
          <w:rFonts w:hint="eastAsia" w:ascii="仿宋" w:hAnsi="仿宋" w:eastAsia="仿宋" w:cs="仿宋"/>
          <w:b w:val="0"/>
          <w:bCs w:val="0"/>
          <w:color w:val="000000" w:themeColor="text1"/>
          <w:sz w:val="24"/>
          <w:szCs w:val="24"/>
          <w:highlight w:val="none"/>
        </w:rPr>
        <w:outlineLvl w:val="0"/>
      </w:pPr>
      <w:r>
        <w:rPr>
          <w:rFonts w:hint="eastAsia" w:ascii="仿宋" w:hAnsi="仿宋" w:eastAsia="仿宋" w:cs="仿宋"/>
          <w:b w:val="0"/>
          <w:bCs w:val="0"/>
          <w:color w:val="000000" w:themeColor="text1"/>
          <w:sz w:val="24"/>
          <w:szCs w:val="24"/>
          <w:highlight w:val="none"/>
          <w:lang w:val="en-US" w:eastAsia="zh-CN"/>
        </w:rPr>
        <w:t xml:space="preserve">1.0号车用柴油：执行GB 19147-2016《车用柴油》（国家强制性标准）</w:t>
      </w:r>
      <w:r>
        <w:rPr>
          <w:color w:val="000000" w:themeColor="text1"/>
        </w:rPr>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2.95号车用汽油：执行GB 17930-2016《车用汽油》（国家强制性标准）</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3.供应商须保证所供油品为合格正品，每批次供货随车提供产品出厂检验合格报告。</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三、供货与配送要求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1.采购人根据执法船实际用油需求，通知供应商供应油品的品类、数量、配送时间、指定地点。</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2.供应商须按通知要求分品类、分批次配送，0号柴油与 95号汽油不得混装、混运、混加。</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3.供应商须按时将油品配送至采购人指定地点，并完成加注服务。</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4.供应过程须符合危险化学品安全管理、环境保护相关规定。</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5.供应商在成品油零售网点以外开展成品油运输、加注等经营活动的，应严格遵守国家及地方相关管理规定；按照规定需向有关主管部门办理报备或审批手续的，由供应商自行负责办理，相关费用与责任由供应商自行承担；未按要求办理相关手续所产生的一切不良后果，均由供应商自行承担。</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四、仓储要求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1.供应商须具备合规汽油、柴油储存条件的油库（自有或租赁）。</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2.油库须符合危险化学品仓储管理相关规定，具备合规的油品储存条件。</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五、运输要求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1.供应商自行运输或委托第三方运输的，须具备危险货物道路运输相关资质。</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2.运输车辆为危险货物专用运输车辆，符合汽油、柴油运输安全要求。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3.运输作业人员须具备相应的危险货物运输从业资格。</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4.运输过程严格遵守国家危险货物道路运输管理规定。</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六、验收要求</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1.供应商配送油品到达指定地点后，采购人现场核对供应品类、数量、质量证明文件。</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2.采购人有权对油品进行抽样检验，检验结果作为验收依据。</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3.油品质量不符合国家现行标准的，采购人有权拒收，供应商承担全部责任。</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4.验收合格后，双方签署供货确认单据，作为结算依据。</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七、结算</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1.本项目采用投标优惠率方式计价，合同基准价计算公式：合同基准价=最高限价×（1-投标优惠率）；项目最终结算总价不得超过本项目设定的最高限价。</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2.本项目0号柴油、95号汽油结算单价统一按下列公式计算：</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结算单价=采购当日中午12时，江苏省发展和改革委员会公布的江苏省成品油最高零售价格表中对应0号柴油/95号汽油最高零售价格×（1-投标优惠率）。</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3.本项目预算金额：人民币119.2万元；最高限价：人民币119.2万元。最终结算金额按实际合格供应数量×应结算单价据实核算，项目累计最终结算总额不得突破最高限价。</w:t>
      </w:r>
      <w:r/>
    </w:p>
    <w:p>
      <w:pPr>
        <w:ind w:left="0" w:firstLine="482"/>
        <w:keepLines w:val="0"/>
        <w:keepNext w:val="0"/>
        <w:pageBreakBefore w:val="0"/>
        <w:spacing w:line="520" w:lineRule="exact"/>
        <w:widowControl w:val="off"/>
        <w:rPr>
          <w:rFonts w:hint="eastAsia" w:ascii="仿宋" w:hAnsi="仿宋" w:eastAsia="仿宋" w:cs="仿宋"/>
          <w:b w:val="0"/>
          <w:bCs w:val="0"/>
          <w:color w:val="auto"/>
          <w:sz w:val="24"/>
          <w:szCs w:val="24"/>
          <w:highlight w:val="none"/>
          <w:lang w:val="en-US" w:eastAsia="zh-CN"/>
        </w:rPr>
        <w:outlineLvl w:val="0"/>
      </w:pPr>
      <w:r>
        <w:rPr>
          <w:rFonts w:hint="eastAsia" w:ascii="仿宋" w:hAnsi="仿宋" w:eastAsia="仿宋" w:cs="仿宋"/>
          <w:b w:val="0"/>
          <w:bCs w:val="0"/>
          <w:color w:val="auto"/>
          <w:sz w:val="24"/>
          <w:szCs w:val="24"/>
          <w:highlight w:val="none"/>
          <w:lang w:val="en-US" w:eastAsia="zh-CN"/>
        </w:rPr>
        <w:t xml:space="preserve">4.结算单价包含油品价款、运输费、装卸费、加注费、税费、安全防护、保险、人工等完成本项目全部服务的所有费用，甲方无需另行支付其他费用。</w:t>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rPr>
          <w:rFonts w:hint="eastAsia" w:ascii="仿宋" w:hAnsi="仿宋" w:eastAsia="仿宋" w:cs="仿宋"/>
          <w:b/>
          <w:bCs/>
          <w:color w:val="auto"/>
          <w:sz w:val="24"/>
          <w:szCs w:val="24"/>
          <w:highlight w:val="none"/>
          <w:lang w:val="en-US" w:eastAsia="zh-CN"/>
        </w:rPr>
        <w:t xml:space="preserve">八、服务保障</w:t>
      </w:r>
      <w:bookmarkEnd w:id="203"/>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1、供应商应对照采购文件要求，说明所提供已对采购人的需求做出了实质性的响应，或申明与需求的偏差和例外。</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2、供应商可以在投标文件中提出不同的服务标准和保障承诺，使评标委员会相信替代服务相同于或优于原需求，对于具体参数要求的指标，供应商必须提供具体参数值。</w:t>
      </w:r>
      <w:r/>
    </w:p>
    <w:p>
      <w:pPr>
        <w:ind w:left="0" w:firstLine="480"/>
        <w:jc w:val="both"/>
        <w:keepLines w:val="0"/>
        <w:keepNext w:val="0"/>
        <w:pageBreakBefore w:val="0"/>
        <w:spacing w:line="520" w:lineRule="exact"/>
        <w:widowControl w:val="off"/>
        <w:rPr>
          <w:rFonts w:hint="eastAsia" w:ascii="仿宋" w:hAnsi="仿宋" w:eastAsia="仿宋" w:cs="仿宋"/>
          <w:b w:val="0"/>
          <w:color w:val="auto"/>
          <w:spacing w:val="0"/>
          <w:sz w:val="24"/>
          <w:szCs w:val="24"/>
          <w:highlight w:val="none"/>
          <w:lang w:val="en-US" w:eastAsia="zh-CN" w:bidi="ar-SA"/>
        </w:rPr>
      </w:pPr>
      <w:r>
        <w:rPr>
          <w:rFonts w:hint="eastAsia" w:ascii="仿宋" w:hAnsi="仿宋" w:eastAsia="仿宋" w:cs="仿宋"/>
          <w:b w:val="0"/>
          <w:color w:val="auto"/>
          <w:spacing w:val="0"/>
          <w:sz w:val="24"/>
          <w:szCs w:val="24"/>
          <w:highlight w:val="none"/>
          <w:lang w:val="en-US" w:eastAsia="zh-CN" w:bidi="ar-SA"/>
        </w:rPr>
        <w:t xml:space="preserve">3、如果发生因供应商工作失职造成安全事故或其他财产损失和人身伤害，均由供应商承担相关经济和法律责任。</w:t>
      </w:r>
      <w:bookmarkStart w:id="204" w:name="_Toc28510"/>
      <w:r/>
      <w:bookmarkEnd w:id="204"/>
      <w:r/>
      <w:bookmarkStart w:id="205" w:name="_Toc28983"/>
      <w:r/>
      <w:bookmarkEnd w:id="205"/>
      <w:r/>
      <w:bookmarkStart w:id="206" w:name="_Toc48143584"/>
      <w:r/>
      <w:bookmarkEnd w:id="206"/>
      <w:r/>
      <w:r/>
    </w:p>
    <w:p>
      <w:p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lang w:val="en-US" w:eastAsia="zh-CN"/>
        </w:rPr>
        <w:outlineLvl w:val="0"/>
      </w:pPr>
      <w:r/>
      <w:bookmarkStart w:id="207" w:name="_Toc24142"/>
      <w:r/>
      <w:bookmarkStart w:id="208" w:name="_Toc20520"/>
      <w:r>
        <w:rPr>
          <w:rFonts w:hint="eastAsia" w:ascii="仿宋" w:hAnsi="仿宋" w:eastAsia="仿宋" w:cs="仿宋"/>
          <w:b/>
          <w:bCs/>
          <w:color w:val="auto"/>
          <w:sz w:val="24"/>
          <w:szCs w:val="24"/>
          <w:highlight w:val="none"/>
          <w:lang w:val="en-US" w:eastAsia="zh-CN"/>
        </w:rPr>
        <w:t xml:space="preserve">九、补充说明</w:t>
      </w:r>
      <w:bookmarkEnd w:id="207"/>
      <w:r/>
      <w:bookmarkEnd w:id="208"/>
      <w:r/>
      <w:r/>
    </w:p>
    <w:p>
      <w:p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lang w:val="en-US" w:eastAsia="zh-CN" w:bidi="ar-SA"/>
        </w:rPr>
        <w:outlineLvl w:val="9"/>
      </w:pPr>
      <w:r/>
      <w:bookmarkStart w:id="209" w:name="_Toc18027"/>
      <w:r/>
      <w:bookmarkStart w:id="210" w:name="_Toc24608"/>
      <w:r/>
      <w:bookmarkStart w:id="211" w:name="_Toc16232"/>
      <w:r/>
      <w:bookmarkStart w:id="212" w:name="_Toc18832"/>
      <w:r>
        <w:rPr>
          <w:rFonts w:hint="eastAsia" w:ascii="仿宋" w:hAnsi="仿宋" w:eastAsia="仿宋" w:cs="仿宋"/>
          <w:color w:val="auto"/>
          <w:sz w:val="24"/>
          <w:szCs w:val="24"/>
          <w:highlight w:val="none"/>
          <w:lang w:val="en-US" w:eastAsia="zh-CN" w:bidi="ar-SA"/>
        </w:rPr>
        <w:t xml:space="preserve">投标供应商应当充分利用自身服务水平、技术力量、市场资源等为本项目投标采用合适的硬件设</w:t>
      </w:r>
      <w:r>
        <w:rPr>
          <w:rFonts w:hint="eastAsia" w:ascii="仿宋" w:hAnsi="仿宋" w:eastAsia="仿宋" w:cs="仿宋"/>
          <w:color w:val="auto"/>
          <w:sz w:val="24"/>
          <w:szCs w:val="24"/>
          <w:highlight w:val="none"/>
          <w:lang w:val="en-US" w:eastAsia="zh-CN" w:bidi="ar-SA"/>
        </w:rPr>
        <w:t xml:space="preserve">备、软件系统等，并提供合理科学的服务实施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209"/>
      <w:r/>
      <w:bookmarkEnd w:id="210"/>
      <w:r/>
      <w:bookmarkEnd w:id="211"/>
      <w:r/>
      <w:bookmarkEnd w:id="212"/>
      <w:r>
        <w:rPr>
          <w:rFonts w:hint="eastAsia" w:ascii="仿宋" w:hAnsi="仿宋" w:eastAsia="仿宋" w:cs="仿宋"/>
          <w:color w:val="auto"/>
          <w:sz w:val="24"/>
          <w:szCs w:val="24"/>
          <w:highlight w:val="none"/>
          <w:lang w:val="en-US" w:eastAsia="zh-CN" w:bidi="ar-SA"/>
        </w:rPr>
        <w:t xml:space="preserve"> </w:t>
      </w:r>
      <w:r/>
    </w:p>
    <w:p>
      <w:pPr>
        <w:numPr>
          <w:ilvl w:val="0"/>
          <w:numId w:val="3"/>
        </w:numPr>
        <w:ind w:left="0" w:firstLine="482"/>
        <w:keepLines w:val="0"/>
        <w:keepNext w:val="0"/>
        <w:pageBreakBefore w:val="0"/>
        <w:spacing w:line="520" w:lineRule="exact"/>
        <w:widowControl w:val="off"/>
        <w:rPr>
          <w:rFonts w:hint="eastAsia" w:ascii="仿宋" w:hAnsi="仿宋" w:eastAsia="仿宋" w:cs="仿宋"/>
          <w:b/>
          <w:bCs/>
          <w:color w:val="auto"/>
          <w:sz w:val="24"/>
          <w:szCs w:val="24"/>
          <w:highlight w:val="none"/>
        </w:rPr>
        <w:outlineLvl w:val="9"/>
      </w:pPr>
      <w:r/>
      <w:bookmarkStart w:id="213" w:name="_Toc4379"/>
      <w:r/>
      <w:bookmarkStart w:id="214" w:name="_Toc10743"/>
      <w:r/>
      <w:bookmarkStart w:id="215" w:name="_Toc3536"/>
      <w:r>
        <w:rPr>
          <w:rFonts w:hint="eastAsia" w:ascii="仿宋" w:hAnsi="仿宋" w:eastAsia="仿宋" w:cs="仿宋"/>
          <w:b/>
          <w:bCs/>
          <w:color w:val="auto"/>
          <w:sz w:val="24"/>
          <w:szCs w:val="24"/>
          <w:highlight w:val="none"/>
        </w:rPr>
        <w:t xml:space="preserve">注：中小企业政府采购扶持政策说明</w:t>
      </w:r>
      <w:bookmarkEnd w:id="213"/>
      <w:r/>
      <w:bookmarkEnd w:id="214"/>
      <w:r/>
      <w:bookmarkEnd w:id="215"/>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1.采购标的的所属行业，根据《工业和信息化部、国家统计局、国家发展和改革委员会、财政部关于印发中小企业划型标准规定的通知》（工信部联企业[2011]300号）规定的划分标准填写。</w:t>
      </w:r>
      <w:r/>
    </w:p>
    <w:p>
      <w:pPr>
        <w:ind w:left="0" w:firstLine="480"/>
        <w:jc w:val="both"/>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2.采购标的对应的中小企业划分标准所属行业一览表</w:t>
      </w:r>
      <w:r/>
    </w:p>
    <w:tbl>
      <w:tblPr>
        <w:tblStyle w:val="696"/>
        <w:tblW w:w="99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4569"/>
        <w:gridCol w:w="4640"/>
      </w:tblGrid>
      <w:tr>
        <w:trPr>
          <w:jc w:val="center"/>
          <w:trHeight w:val="5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对应中小企业划分标准所属行业</w:t>
            </w:r>
            <w:r/>
          </w:p>
        </w:tc>
      </w:tr>
      <w:tr>
        <w:trPr>
          <w:jc w:val="center"/>
          <w:trHeight w:val="64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柴油、汽油</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批发业（石油及制品批发）</w:t>
            </w:r>
            <w:r/>
          </w:p>
        </w:tc>
      </w:tr>
    </w:tbl>
    <w:p>
      <w:pPr>
        <w:rPr>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br w:type="page" w:clear="all"/>
      </w:r>
      <w:r/>
    </w:p>
    <w:p>
      <w:pPr>
        <w:jc w:val="center"/>
        <w:rPr>
          <w:rFonts w:hint="eastAsia" w:ascii="方正小标宋简体" w:hAnsi="方正小标宋简体" w:eastAsia="方正小标宋简体" w:cs="方正小标宋简体"/>
          <w:b w:val="0"/>
          <w:bCs w:val="0"/>
          <w:color w:val="auto"/>
          <w:highlight w:val="none"/>
        </w:rPr>
        <w:outlineLvl w:val="0"/>
      </w:pPr>
      <w:r>
        <w:rPr>
          <w:rFonts w:hint="eastAsia" w:ascii="方正小标宋简体" w:hAnsi="方正小标宋简体" w:eastAsia="方正小标宋简体" w:cs="方正小标宋简体"/>
          <w:b w:val="0"/>
          <w:bCs w:val="0"/>
          <w:color w:val="auto"/>
          <w:sz w:val="44"/>
          <w:szCs w:val="44"/>
          <w:highlight w:val="none"/>
        </w:rPr>
        <w:t xml:space="preserve">第五章  评标方法与评标标准</w:t>
      </w:r>
      <w:bookmarkEnd w:id="194"/>
      <w:r/>
      <w:bookmarkEnd w:id="195"/>
      <w:r/>
      <w:r/>
    </w:p>
    <w:p>
      <w:pPr>
        <w:pStyle w:val="718"/>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0"/>
      </w:pPr>
      <w:r/>
      <w:bookmarkStart w:id="216" w:name="_Toc11696"/>
      <w:r/>
      <w:bookmarkStart w:id="217" w:name="_Toc20042"/>
      <w:r>
        <w:rPr>
          <w:rFonts w:hint="eastAsia" w:ascii="宋体" w:hAnsi="宋体" w:eastAsia="宋体" w:cs="宋体"/>
          <w:b/>
          <w:bCs/>
          <w:color w:val="auto"/>
          <w:sz w:val="24"/>
          <w:szCs w:val="24"/>
          <w:highlight w:val="none"/>
        </w:rPr>
        <w:t xml:space="preserve">一、定标原则</w:t>
      </w:r>
      <w:bookmarkEnd w:id="216"/>
      <w:r/>
      <w:bookmarkEnd w:id="217"/>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lang w:val="en-US" w:eastAsia="zh-CN"/>
        </w:rPr>
        <w:t xml:space="preserve">最低评标价</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，对通过资格审查、符合性审查的投标文件，按照本章规定的方法对投标报价进行修正和调整后，确定评标价，评标价最低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优惠率</w:t>
      </w:r>
      <w:r>
        <w:rPr>
          <w:rFonts w:hint="eastAsia" w:ascii="宋体" w:hAnsi="宋体" w:eastAsia="宋体" w:cs="宋体"/>
          <w:bCs/>
          <w:color w:val="auto"/>
          <w:sz w:val="24"/>
          <w:szCs w:val="24"/>
          <w:highlight w:val="none"/>
          <w:lang w:eastAsia="zh-CN"/>
        </w:rPr>
        <w:t xml:space="preserve">最高</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718"/>
        <w:ind w:left="0" w:firstLine="482"/>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bookmarkStart w:id="218" w:name="_Toc21153"/>
      <w:r/>
      <w:bookmarkStart w:id="219" w:name="_Toc11735"/>
      <w:r>
        <w:rPr>
          <w:rFonts w:hint="eastAsia" w:ascii="宋体" w:hAnsi="宋体" w:eastAsia="宋体" w:cs="宋体"/>
          <w:color w:val="auto"/>
          <w:sz w:val="24"/>
          <w:szCs w:val="24"/>
          <w:highlight w:val="none"/>
        </w:rPr>
        <w:t xml:space="preserve">1、小微型企业价格扣除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（2）供应商需按照采购文件的要求提供相应的《中小企业声明函》。</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2、残疾人福利单位价格扣除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（1）本项目对残疾人福利性单位视同小型、微型企业，给予20%的价格扣除。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3、监狱和戒毒企业价格扣除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（1）本项目对监狱和戒毒企业（简称监狱企业）视同小型、微型企业，给予20%的价格扣除。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highlight w:val="none"/>
        </w:rPr>
        <w:t xml:space="preserve"> </w:t>
      </w:r>
      <w:r>
        <w:rPr>
          <w:rFonts w:hint="eastAsia" w:ascii="宋体" w:hAnsi="宋体" w:eastAsia="宋体" w:cs="宋体"/>
          <w:color w:val="auto"/>
          <w:sz w:val="24"/>
          <w:szCs w:val="21"/>
          <w:highlight w:val="none"/>
        </w:rPr>
        <w:t xml:space="preserve">二、评标标准</w:t>
      </w:r>
      <w:bookmarkEnd w:id="218"/>
      <w:r/>
      <w:bookmarkEnd w:id="219"/>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评标委员会根据评审标准和无效投标条款对每一份投标文件进行评审，凡有无效标书条款规定情形之一的，作无效标处理。</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投标报价评审的修正原则：1.大写报价与小写报价不一致的以大写报价为准；2.投标单价合计结果与总价不一致的以单价为准；3.前述原则并列遵循。</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投标文件的评审按以下顺序进行，上一阶段未通过的不进入下一阶段评审：</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1"/>
      </w:pPr>
      <w:r/>
      <w:bookmarkStart w:id="220" w:name="_Toc26814"/>
      <w:r>
        <w:rPr>
          <w:rFonts w:hint="eastAsia" w:ascii="宋体" w:hAnsi="宋体" w:eastAsia="宋体" w:cs="宋体"/>
          <w:color w:val="auto"/>
          <w:sz w:val="24"/>
          <w:szCs w:val="21"/>
          <w:highlight w:val="none"/>
        </w:rPr>
        <w:t xml:space="preserve">1、初步评审</w:t>
      </w:r>
      <w:bookmarkEnd w:id="220"/>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2"/>
      </w:pPr>
      <w:r/>
      <w:bookmarkStart w:id="221" w:name="_Toc28427"/>
      <w:r>
        <w:rPr>
          <w:rFonts w:hint="eastAsia" w:ascii="宋体" w:hAnsi="宋体" w:eastAsia="宋体" w:cs="宋体"/>
          <w:color w:val="auto"/>
          <w:sz w:val="24"/>
          <w:szCs w:val="21"/>
          <w:highlight w:val="none"/>
        </w:rPr>
        <w:t xml:space="preserve">1.1资格审查（资格后审）</w:t>
      </w:r>
      <w:bookmarkEnd w:id="221"/>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采购人</w:t>
      </w:r>
      <w:r>
        <w:rPr>
          <w:rFonts w:hint="eastAsia" w:ascii="宋体" w:hAnsi="宋体" w:eastAsia="宋体" w:cs="宋体"/>
          <w:color w:val="auto"/>
          <w:sz w:val="24"/>
          <w:szCs w:val="21"/>
          <w:highlight w:val="none"/>
        </w:rPr>
        <w:t xml:space="preserve">对所有参加投标的投标供应商的资格对照</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资格审查的规定要求进行审查，只有通过资格审查的投标供应商方可进行下一阶段的评审。</w:t>
      </w:r>
      <w:r/>
    </w:p>
    <w:p>
      <w:pPr>
        <w:pStyle w:val="71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6203"/>
        <w:gridCol w:w="2186"/>
      </w:tblGrid>
      <w:tr>
        <w:trPr>
          <w:jc w:val="center"/>
          <w:trHeight w:val="90"/>
          <w:tblHeader/>
        </w:trPr>
        <w:tc>
          <w:tcPr>
            <w:shd w:val="clear" w:color="auto" w:fill="f1f1f1"/>
            <w:tcW w:w="850" w:type="dxa"/>
            <w:vAlign w:val="center"/>
            <w:textDirection w:val="lrTb"/>
            <w:noWrap w:val="false"/>
          </w:tcPr>
          <w:p>
            <w:pPr>
              <w:pStyle w:val="718"/>
              <w:jc w:val="center"/>
              <w:spacing w:beforeAutospacing="0" w:afterAutospacing="0"/>
              <w:rPr>
                <w:rFonts w:hint="eastAsia" w:ascii="宋体" w:hAnsi="宋体" w:eastAsia="宋体" w:cs="宋体"/>
                <w:color w:val="auto"/>
                <w:sz w:val="24"/>
                <w:szCs w:val="21"/>
                <w:highlight w:val="none"/>
                <w:lang w:val="en-US" w:eastAsia="zh-CN" w:bidi="ar-SA"/>
              </w:rPr>
            </w:pPr>
            <w:r/>
            <w:bookmarkStart w:id="222" w:name="_Toc15340"/>
            <w:r>
              <w:rPr>
                <w:rFonts w:hint="eastAsia" w:ascii="宋体" w:hAnsi="宋体" w:eastAsia="宋体" w:cs="宋体"/>
                <w:color w:val="auto"/>
                <w:sz w:val="24"/>
                <w:szCs w:val="21"/>
                <w:highlight w:val="none"/>
                <w:lang w:val="en-US" w:eastAsia="zh-CN" w:bidi="ar-SA"/>
              </w:rPr>
              <w:t xml:space="preserve">序号</w:t>
            </w:r>
            <w:r/>
          </w:p>
        </w:tc>
        <w:tc>
          <w:tcPr>
            <w:shd w:val="clear" w:color="auto" w:fill="f1f1f1"/>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审查材料名称</w:t>
            </w:r>
            <w:r/>
          </w:p>
        </w:tc>
        <w:tc>
          <w:tcPr>
            <w:shd w:val="clear" w:color="auto" w:fill="f1f1f1"/>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备注</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w:t>
            </w:r>
            <w:r/>
          </w:p>
        </w:tc>
        <w:tc>
          <w:tcPr>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法人或者其他组织的营业执照等证明文件，自然人的身份证明</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w:t>
            </w:r>
            <w:r/>
          </w:p>
        </w:tc>
        <w:tc>
          <w:tcPr>
            <w:shd w:val="clear" w:color="auto" w:fill="auto"/>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上一年度的财务报表或财务审计报告（成立不满一年不需提供，投标人投标时可提供2024或2025年度财务报表，在评标时均予以认可。）</w:t>
            </w: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w:t>
            </w:r>
            <w:r/>
          </w:p>
        </w:tc>
        <w:tc>
          <w:tcPr>
            <w:shd w:val="clear" w:color="auto" w:fill="auto"/>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具备履行合同所必需的设备和专业技术能力的书面声明</w:t>
            </w: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提供书面声明，格式附后</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4</w:t>
            </w:r>
            <w:r/>
          </w:p>
        </w:tc>
        <w:tc>
          <w:tcPr>
            <w:shd w:val="clear" w:color="auto" w:fill="auto"/>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依法缴纳税收和社会保障资金的相关材料</w:t>
            </w: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提供承诺函或证明材料</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5</w:t>
            </w:r>
            <w:r/>
          </w:p>
        </w:tc>
        <w:tc>
          <w:tcPr>
            <w:shd w:val="clear" w:color="auto" w:fill="auto"/>
            <w:tcW w:w="6203"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参加政府采购活动前3年内在经营活动中没有重大违法记录的书面声明</w:t>
            </w: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提供书面声明，格式附后</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6</w:t>
            </w:r>
            <w:r/>
          </w:p>
        </w:tc>
        <w:tc>
          <w:tcPr>
            <w:shd w:val="clear" w:color="auto" w:fill="auto"/>
            <w:tcW w:w="6203" w:type="dxa"/>
            <w:vAlign w:val="center"/>
            <w:textDirection w:val="lrTb"/>
            <w:noWrap w:val="false"/>
          </w:tcPr>
          <w:p>
            <w:pPr>
              <w:ind w:firstLine="0"/>
              <w:jc w:val="both"/>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未被“信用中国”网站（www.creditchina.gov.cn）列入失信被执行人、重大税收违法案件当事人名单、政府采购严重失信行为记录名单。</w:t>
            </w:r>
            <w:r/>
          </w:p>
        </w:tc>
        <w:tc>
          <w:tcPr>
            <w:shd w:val="clear" w:color="auto" w:fill="auto"/>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提供信用中国网页截图或网页打印件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7</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投标人具有有效期内的《危险化学品经营许可证》（许可范围包含汽油、柴油）</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8</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投标人具有有效期内的《成品油零售经营批准证书》（在开标当日处于有效期内）</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9</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投标人须具有合规汽油、柴油储存条件，并提供有效证明材料</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10</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如供应商自行负责运输，须具有有效的道路危险货物运输许可证或道路运输经营许可证（涵盖危险货物运输）；如供应商委托运输，须提供双方合作协议及运输方须具有有效的道路危险货物运输许可证或道路运输经营许可证（涵盖危险货物运输）。</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11</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招标文件要求提供的其他材料</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12</w:t>
            </w:r>
            <w:r/>
          </w:p>
        </w:tc>
        <w:tc>
          <w:tcPr>
            <w:tcW w:w="6203" w:type="dxa"/>
            <w:vAlign w:val="center"/>
            <w:textDirection w:val="lrTb"/>
            <w:noWrap w:val="false"/>
          </w:tcPr>
          <w:p>
            <w:pPr>
              <w:keepLines w:val="0"/>
              <w:keepNext w:val="0"/>
              <w:pageBreakBefore w:val="0"/>
              <w:spacing w:line="52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投标供应商认为需要提供的其他资格要求材料</w:t>
            </w:r>
            <w:r/>
          </w:p>
        </w:tc>
        <w:tc>
          <w:tcPr>
            <w:tcW w:w="2186"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提供扫描件</w:t>
            </w:r>
            <w:r/>
          </w:p>
        </w:tc>
      </w:tr>
      <w:tr>
        <w:trPr>
          <w:jc w:val="center"/>
          <w:trHeight w:val="90"/>
        </w:trPr>
        <w:tc>
          <w:tcPr>
            <w:tcW w:w="850" w:type="dxa"/>
            <w:vAlign w:val="center"/>
            <w:textDirection w:val="lrTb"/>
            <w:noWrap w:val="false"/>
          </w:tcPr>
          <w:p>
            <w:pPr>
              <w:ind w:firstLine="0"/>
              <w:jc w:val="center"/>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说明</w:t>
            </w:r>
            <w:r/>
          </w:p>
        </w:tc>
        <w:tc>
          <w:tcPr>
            <w:gridSpan w:val="2"/>
            <w:tcW w:w="8389" w:type="dxa"/>
            <w:vAlign w:val="center"/>
            <w:textDirection w:val="lrTb"/>
            <w:noWrap w:val="false"/>
          </w:tcPr>
          <w:p>
            <w:pPr>
              <w:ind w:firstLine="0"/>
              <w:jc w:val="left"/>
              <w:keepLines w:val="0"/>
              <w:keepNext w:val="0"/>
              <w:pageBreakBefore w:val="0"/>
              <w:spacing w:before="0" w:after="0"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投标供应商（申请人）必须按照上述要求提供资格审查材料，否则将会被评标委员会作无效标处理；2.除上述材料及本文件第二章投标供应商须知22条规定的不符合资格审查要求的情形外，评标委员会一般不应判定投标供应商资格审查不通过。</w:t>
            </w:r>
            <w:r/>
          </w:p>
        </w:tc>
      </w:tr>
    </w:tbl>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1.2形式评审标准</w:t>
      </w:r>
      <w:bookmarkEnd w:id="222"/>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评标委员会参照本文件</w:t>
      </w:r>
      <w:r>
        <w:rPr>
          <w:rFonts w:hint="eastAsia" w:ascii="宋体" w:hAnsi="宋体" w:eastAsia="宋体" w:cs="宋体"/>
          <w:color w:val="auto"/>
          <w:sz w:val="24"/>
          <w:szCs w:val="21"/>
          <w:highlight w:val="none"/>
          <w:u w:val="single"/>
        </w:rPr>
        <w:t xml:space="preserve">第二章</w:t>
      </w:r>
      <w:r>
        <w:rPr>
          <w:rFonts w:hint="eastAsia" w:ascii="宋体" w:hAnsi="宋体" w:eastAsia="宋体" w:cs="宋体"/>
          <w:color w:val="auto"/>
          <w:sz w:val="24"/>
          <w:szCs w:val="21"/>
          <w:highlight w:val="none"/>
          <w:u w:val="single"/>
          <w:lang w:eastAsia="zh-CN"/>
        </w:rPr>
        <w:t xml:space="preserve">投标供应商</w:t>
      </w:r>
      <w:r>
        <w:rPr>
          <w:rFonts w:hint="eastAsia" w:ascii="宋体" w:hAnsi="宋体" w:eastAsia="宋体" w:cs="宋体"/>
          <w:color w:val="auto"/>
          <w:sz w:val="24"/>
          <w:szCs w:val="21"/>
          <w:highlight w:val="none"/>
          <w:u w:val="single"/>
        </w:rPr>
        <w:t xml:space="preserve">须知第</w:t>
      </w:r>
      <w:r>
        <w:rPr>
          <w:rFonts w:hint="eastAsia" w:ascii="宋体" w:hAnsi="宋体" w:eastAsia="宋体" w:cs="宋体"/>
          <w:color w:val="auto"/>
          <w:sz w:val="24"/>
          <w:szCs w:val="21"/>
          <w:highlight w:val="none"/>
          <w:u w:val="single"/>
          <w:lang w:val="en-US" w:eastAsia="zh-CN"/>
        </w:rPr>
        <w:t xml:space="preserve">26</w:t>
      </w:r>
      <w:r>
        <w:rPr>
          <w:rFonts w:hint="eastAsia" w:ascii="宋体" w:hAnsi="宋体" w:eastAsia="宋体" w:cs="宋体"/>
          <w:color w:val="auto"/>
          <w:sz w:val="24"/>
          <w:szCs w:val="21"/>
          <w:highlight w:val="none"/>
          <w:u w:val="single"/>
        </w:rPr>
        <w:t xml:space="preserve">.1条“无效投标条款”</w:t>
      </w:r>
      <w:r>
        <w:rPr>
          <w:rFonts w:hint="eastAsia" w:ascii="宋体" w:hAnsi="宋体" w:eastAsia="宋体" w:cs="宋体"/>
          <w:color w:val="auto"/>
          <w:sz w:val="24"/>
          <w:szCs w:val="21"/>
          <w:highlight w:val="none"/>
        </w:rPr>
        <w:t xml:space="preserve">对投标文件的有效性等进行评审。</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2"/>
      </w:pPr>
      <w:r/>
      <w:bookmarkStart w:id="223" w:name="_Toc18657"/>
      <w:r>
        <w:rPr>
          <w:rFonts w:hint="eastAsia" w:ascii="宋体" w:hAnsi="宋体" w:eastAsia="宋体" w:cs="宋体"/>
          <w:color w:val="auto"/>
          <w:sz w:val="24"/>
          <w:szCs w:val="21"/>
          <w:highlight w:val="none"/>
        </w:rPr>
        <w:t xml:space="preserve">1.3响应性审查</w:t>
      </w:r>
      <w:bookmarkEnd w:id="223"/>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对</w:t>
      </w:r>
      <w:r>
        <w:rPr>
          <w:rFonts w:hint="eastAsia" w:ascii="宋体" w:hAnsi="宋体" w:eastAsia="宋体" w:cs="宋体"/>
          <w:color w:val="auto"/>
          <w:sz w:val="24"/>
          <w:szCs w:val="21"/>
          <w:highlight w:val="none"/>
          <w:lang w:eastAsia="zh-CN"/>
        </w:rPr>
        <w:t xml:space="preserve">采购文件</w:t>
      </w:r>
      <w:r>
        <w:rPr>
          <w:rFonts w:hint="eastAsia" w:ascii="宋体" w:hAnsi="宋体" w:eastAsia="宋体" w:cs="宋体"/>
          <w:color w:val="auto"/>
          <w:sz w:val="24"/>
          <w:szCs w:val="21"/>
          <w:highlight w:val="none"/>
        </w:rPr>
        <w:t xml:space="preserve">要求的</w:t>
      </w:r>
      <w:r>
        <w:rPr>
          <w:rFonts w:hint="eastAsia" w:ascii="宋体" w:hAnsi="宋体" w:eastAsia="宋体" w:cs="宋体"/>
          <w:color w:val="auto"/>
          <w:sz w:val="24"/>
          <w:szCs w:val="21"/>
          <w:highlight w:val="none"/>
          <w:lang w:val="en-US" w:eastAsia="zh-CN"/>
        </w:rPr>
        <w:t xml:space="preserve">服务期</w:t>
      </w:r>
      <w:r>
        <w:rPr>
          <w:rFonts w:hint="eastAsia" w:ascii="宋体" w:hAnsi="宋体" w:eastAsia="宋体" w:cs="宋体"/>
          <w:color w:val="auto"/>
          <w:sz w:val="24"/>
          <w:szCs w:val="21"/>
          <w:highlight w:val="none"/>
        </w:rPr>
        <w:t xml:space="preserve">、质量及质量目标、履约担保、投标有效期、不可竞争费用等实质性要求的响应性进行评审，未响应的按无效标处理。</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1"/>
      </w:pPr>
      <w:r/>
      <w:bookmarkStart w:id="224" w:name="_Toc20074"/>
      <w:r>
        <w:rPr>
          <w:rFonts w:hint="eastAsia" w:ascii="宋体" w:hAnsi="宋体" w:eastAsia="宋体" w:cs="宋体"/>
          <w:color w:val="auto"/>
          <w:sz w:val="24"/>
          <w:szCs w:val="21"/>
          <w:highlight w:val="none"/>
        </w:rPr>
        <w:t xml:space="preserve">2、详细评审</w:t>
      </w:r>
      <w:bookmarkEnd w:id="224"/>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2.1评标委员会对开、清标过程中发现的情况予以评审，被认定为无效标的投标文件不能进入本阶段评审。</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2.2商务性评审</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2.2.1有下列情形之一的，商务性评审不予通过：</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①不可竞争费费率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如有</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、规费费率</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如有</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税率不按规定计取的；②投标函中的投标报价（指大写金额）与开标一览表（清单）不一致且无法确认的；③经评标委员会认定投标供应商的投标报价低于成本价的。注：未通过商务性评审的不得推荐为中标候选人。</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★2.2.2供应商（申请人）合理报价注意事项：投标供应商投标报价</w:t>
      </w:r>
      <w:r>
        <w:rPr>
          <w:rFonts w:hint="eastAsia" w:ascii="宋体" w:hAnsi="宋体" w:eastAsia="宋体" w:cs="宋体"/>
          <w:color w:val="auto"/>
          <w:sz w:val="24"/>
          <w:szCs w:val="21"/>
          <w:highlight w:val="none"/>
          <w:lang w:val="en-US" w:eastAsia="zh-CN"/>
        </w:rPr>
        <w:t xml:space="preserve">高于</w:t>
      </w:r>
      <w:r>
        <w:rPr>
          <w:rFonts w:hint="eastAsia" w:ascii="宋体" w:hAnsi="宋体" w:eastAsia="宋体" w:cs="宋体"/>
          <w:color w:val="auto"/>
          <w:sz w:val="24"/>
          <w:szCs w:val="21"/>
          <w:highlight w:val="none"/>
        </w:rPr>
        <w:t xml:space="preserve">采购人设定的最高限价的或低于企业成本价的，视其为不以中标为目的的投标，将作为失信行为予以公示。（投标报价低于成本价：当评标委员会发现某投标供应商的投标报价明显低于其他所有通过初步评审的投标供应商的平均报价时，视为其报价存在不能正常履约的风险，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1"/>
      </w:pPr>
      <w:r/>
      <w:bookmarkStart w:id="225" w:name="_Toc25351"/>
      <w:r>
        <w:rPr>
          <w:rFonts w:hint="eastAsia" w:ascii="宋体" w:hAnsi="宋体" w:eastAsia="宋体" w:cs="宋体"/>
          <w:color w:val="auto"/>
          <w:highlight w:val="none"/>
        </w:rPr>
        <w:t xml:space="preserve"> </w:t>
      </w:r>
      <w:r>
        <w:rPr>
          <w:rFonts w:hint="eastAsia" w:ascii="宋体" w:hAnsi="宋体" w:eastAsia="宋体" w:cs="宋体"/>
          <w:color w:val="auto"/>
          <w:sz w:val="24"/>
          <w:szCs w:val="21"/>
          <w:highlight w:val="none"/>
        </w:rPr>
        <w:t xml:space="preserve">3、中标候选人推荐方法：</w:t>
      </w:r>
      <w:bookmarkEnd w:id="225"/>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除符合性（指初步评审中形式评审和响应性审查）、商务性评审未通过的及本文件规定的其他不作中标候选人的情况不得作为中标候选人推荐外，其余</w:t>
      </w:r>
      <w:r>
        <w:rPr>
          <w:rFonts w:hint="eastAsia" w:ascii="宋体" w:hAnsi="宋体" w:eastAsia="宋体" w:cs="宋体"/>
          <w:color w:val="auto"/>
          <w:sz w:val="24"/>
          <w:szCs w:val="21"/>
          <w:highlight w:val="none"/>
          <w:lang w:val="en-US" w:eastAsia="zh-CN"/>
        </w:rPr>
        <w:t xml:space="preserve">按价格</w:t>
      </w:r>
      <w:r>
        <w:rPr>
          <w:rFonts w:hint="eastAsia" w:ascii="宋体" w:hAnsi="宋体" w:eastAsia="宋体" w:cs="宋体"/>
          <w:color w:val="auto"/>
          <w:sz w:val="24"/>
          <w:szCs w:val="21"/>
          <w:highlight w:val="none"/>
        </w:rPr>
        <w:t xml:space="preserve">从</w:t>
      </w:r>
      <w:r>
        <w:rPr>
          <w:rFonts w:hint="eastAsia" w:ascii="宋体" w:hAnsi="宋体" w:eastAsia="宋体" w:cs="宋体"/>
          <w:color w:val="auto"/>
          <w:sz w:val="24"/>
          <w:szCs w:val="21"/>
          <w:highlight w:val="none"/>
          <w:lang w:val="en-US" w:eastAsia="zh-CN"/>
        </w:rPr>
        <w:t xml:space="preserve">低</w:t>
      </w:r>
      <w:r>
        <w:rPr>
          <w:rFonts w:hint="eastAsia" w:ascii="宋体" w:hAnsi="宋体" w:eastAsia="宋体" w:cs="宋体"/>
          <w:color w:val="auto"/>
          <w:sz w:val="24"/>
          <w:szCs w:val="21"/>
          <w:highlight w:val="none"/>
        </w:rPr>
        <w:t xml:space="preserve">到</w:t>
      </w:r>
      <w:r>
        <w:rPr>
          <w:rFonts w:hint="eastAsia" w:ascii="宋体" w:hAnsi="宋体" w:eastAsia="宋体" w:cs="宋体"/>
          <w:color w:val="auto"/>
          <w:sz w:val="24"/>
          <w:szCs w:val="21"/>
          <w:highlight w:val="none"/>
          <w:lang w:val="en-US" w:eastAsia="zh-CN"/>
        </w:rPr>
        <w:t xml:space="preserve">高</w:t>
      </w:r>
      <w:r>
        <w:rPr>
          <w:rFonts w:hint="eastAsia" w:ascii="宋体" w:hAnsi="宋体" w:eastAsia="宋体" w:cs="宋体"/>
          <w:color w:val="auto"/>
          <w:sz w:val="24"/>
          <w:szCs w:val="21"/>
          <w:highlight w:val="none"/>
        </w:rPr>
        <w:t xml:space="preserve">依次推荐1名中标候选人，如</w:t>
      </w:r>
      <w:r>
        <w:rPr>
          <w:rFonts w:hint="eastAsia" w:ascii="宋体" w:hAnsi="宋体" w:eastAsia="宋体" w:cs="宋体"/>
          <w:color w:val="auto"/>
          <w:sz w:val="24"/>
          <w:szCs w:val="21"/>
          <w:highlight w:val="none"/>
          <w:lang w:val="en-US" w:eastAsia="zh-CN"/>
        </w:rPr>
        <w:t xml:space="preserve">有投标供应商</w:t>
      </w:r>
      <w:r>
        <w:rPr>
          <w:rFonts w:hint="eastAsia" w:ascii="宋体" w:hAnsi="宋体" w:eastAsia="宋体" w:cs="宋体"/>
          <w:color w:val="auto"/>
          <w:sz w:val="24"/>
          <w:szCs w:val="21"/>
          <w:highlight w:val="none"/>
        </w:rPr>
        <w:t xml:space="preserve">报价相同，则由评标委员会抽签决定第一中标候选人。</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outlineLvl w:val="0"/>
      </w:pPr>
      <w:r/>
      <w:bookmarkStart w:id="226" w:name="_Toc16976"/>
      <w:r/>
      <w:bookmarkStart w:id="227" w:name="_Toc30263"/>
      <w:r/>
      <w:bookmarkStart w:id="228" w:name="_Toc22623"/>
      <w:r/>
      <w:bookmarkStart w:id="229" w:name="_Toc17909"/>
      <w:r/>
      <w:bookmarkStart w:id="230" w:name="_Toc30603"/>
      <w:r>
        <w:rPr>
          <w:rFonts w:hint="eastAsia" w:ascii="宋体" w:hAnsi="宋体" w:eastAsia="宋体" w:cs="宋体"/>
          <w:color w:val="auto"/>
          <w:sz w:val="24"/>
          <w:szCs w:val="21"/>
          <w:highlight w:val="none"/>
        </w:rPr>
        <w:t xml:space="preserve">三、其它</w:t>
      </w:r>
      <w:bookmarkEnd w:id="226"/>
      <w:r/>
      <w:bookmarkEnd w:id="227"/>
      <w:r/>
      <w:bookmarkEnd w:id="228"/>
      <w:r/>
      <w:bookmarkEnd w:id="229"/>
      <w:r/>
      <w:bookmarkEnd w:id="230"/>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3.本评标办法未述及的事宜，由评标委员会依据法律法规处置。</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4.有不符合法律、法规规定，出现《江苏省预防职务犯罪条例》限制情形的，按照规定予以废标处置。</w:t>
      </w:r>
      <w:r/>
    </w:p>
    <w:p>
      <w:pPr>
        <w:ind w:firstLine="480"/>
        <w:keepLines w:val="0"/>
        <w:keepNext w:val="0"/>
        <w:pageBreakBefore w:val="0"/>
        <w:spacing w:line="52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5.经审查为虚假材料的，按相关法律、法规要求作无效标处理同时上报行政主管部门予以列入黑名单并予以公示不低于6个月。</w:t>
      </w:r>
      <w:r/>
    </w:p>
    <w:p>
      <w:pPr>
        <w:rPr>
          <w:rFonts w:hint="eastAsia" w:ascii="黑体" w:hAnsi="宋体" w:eastAsia="黑体" w:cs="黑体"/>
          <w:color w:val="auto"/>
          <w:sz w:val="44"/>
          <w:szCs w:val="44"/>
          <w:highlight w:val="none"/>
        </w:rPr>
      </w:pPr>
      <w:r/>
      <w:bookmarkStart w:id="231" w:name="_Toc14834"/>
      <w:r>
        <w:rPr>
          <w:rFonts w:hint="eastAsia" w:ascii="黑体" w:hAnsi="宋体" w:eastAsia="黑体" w:cs="黑体"/>
          <w:color w:val="auto"/>
          <w:sz w:val="44"/>
          <w:szCs w:val="44"/>
          <w:highlight w:val="none"/>
        </w:rPr>
        <w:br w:type="page" w:clear="all"/>
      </w:r>
      <w:r/>
    </w:p>
    <w:p>
      <w:pPr>
        <w:pStyle w:val="718"/>
        <w:jc w:val="center"/>
        <w:keepNext/>
        <w:spacing w:beforeAutospacing="0" w:afterAutospacing="0"/>
        <w:rPr>
          <w:color w:val="auto"/>
          <w:highlight w:val="none"/>
        </w:rPr>
        <w:outlineLvl w:val="0"/>
      </w:pPr>
      <w:r/>
      <w:bookmarkStart w:id="232" w:name="_Toc18305"/>
      <w:r>
        <w:rPr>
          <w:rFonts w:hint="eastAsia" w:ascii="黑体" w:hAnsi="宋体" w:eastAsia="黑体" w:cs="黑体"/>
          <w:color w:val="auto"/>
          <w:sz w:val="44"/>
          <w:szCs w:val="44"/>
          <w:highlight w:val="none"/>
        </w:rPr>
        <w:t xml:space="preserve">第六章  投标文件格式</w:t>
      </w:r>
      <w:bookmarkEnd w:id="231"/>
      <w:r/>
      <w:bookmarkEnd w:id="232"/>
      <w:r>
        <w:rPr>
          <w:rFonts w:hint="eastAsia" w:ascii="黑体" w:hAnsi="宋体" w:eastAsia="黑体" w:cs="黑体"/>
          <w:color w:val="auto"/>
          <w:sz w:val="44"/>
          <w:szCs w:val="44"/>
          <w:highlight w:val="none"/>
        </w:rPr>
        <w:t xml:space="preserve"> </w:t>
      </w:r>
      <w:r/>
    </w:p>
    <w:p>
      <w:pPr>
        <w:pStyle w:val="718"/>
        <w:jc w:val="center"/>
        <w:spacing w:beforeAutospacing="0" w:afterAutospacing="0"/>
        <w:rPr>
          <w:rFonts w:hint="eastAsia" w:ascii="宋体" w:hAnsi="宋体" w:eastAsia="宋体" w:cs="宋体"/>
          <w:b/>
          <w:color w:val="auto"/>
          <w:sz w:val="72"/>
          <w:szCs w:val="72"/>
          <w:highlight w:val="none"/>
        </w:rPr>
      </w:pPr>
      <w:r/>
      <w:bookmarkStart w:id="233" w:name="_Hlt26955039"/>
      <w:r/>
      <w:bookmarkEnd w:id="233"/>
      <w:r/>
      <w:bookmarkStart w:id="234" w:name="_Hlt26671244"/>
      <w:r/>
      <w:bookmarkEnd w:id="234"/>
      <w:r/>
      <w:bookmarkStart w:id="235" w:name="_Toc26554094"/>
      <w:r/>
      <w:bookmarkEnd w:id="235"/>
      <w:r/>
      <w:bookmarkStart w:id="236" w:name="_Toc120614282"/>
      <w:r/>
      <w:bookmarkStart w:id="237" w:name="_Toc49090576"/>
      <w:r/>
      <w:r/>
    </w:p>
    <w:p>
      <w:pPr>
        <w:pStyle w:val="71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18"/>
        <w:jc w:val="center"/>
        <w:spacing w:beforeAutospacing="0" w:afterAutospacing="0"/>
        <w:rPr>
          <w:color w:val="auto"/>
          <w:highlight w:val="none"/>
        </w:rPr>
        <w:outlineLvl w:val="0"/>
      </w:pPr>
      <w:r/>
      <w:bookmarkStart w:id="238" w:name="_Toc2196"/>
      <w:r/>
      <w:bookmarkStart w:id="239" w:name="_Toc31039"/>
      <w:r>
        <w:rPr>
          <w:rFonts w:hint="eastAsia" w:ascii="宋体" w:hAnsi="宋体" w:eastAsia="宋体" w:cs="宋体"/>
          <w:b/>
          <w:color w:val="auto"/>
          <w:sz w:val="72"/>
          <w:szCs w:val="72"/>
          <w:highlight w:val="none"/>
        </w:rPr>
        <w:t xml:space="preserve">投  标  文  件</w:t>
      </w:r>
      <w:bookmarkEnd w:id="238"/>
      <w:r/>
      <w:bookmarkEnd w:id="239"/>
      <w:r/>
      <w:r/>
    </w:p>
    <w:p>
      <w:pPr>
        <w:pStyle w:val="718"/>
        <w:jc w:val="center"/>
        <w:spacing w:beforeAutospacing="0" w:afterAutospacing="0"/>
        <w:rPr>
          <w:color w:val="auto"/>
          <w:highlight w:val="none"/>
        </w:rPr>
      </w:pPr>
      <w:r>
        <w:rPr>
          <w:color w:val="auto"/>
          <w:highlight w:val="none"/>
        </w:rPr>
        <w:t xml:space="preserve"> </w:t>
      </w:r>
      <w:r/>
    </w:p>
    <w:p>
      <w:pPr>
        <w:pStyle w:val="718"/>
        <w:jc w:val="center"/>
        <w:spacing w:beforeAutospacing="0" w:afterAutospacing="0"/>
        <w:rPr>
          <w:color w:val="auto"/>
          <w:highlight w:val="none"/>
        </w:rPr>
      </w:pPr>
      <w:r>
        <w:rPr>
          <w:color w:val="auto"/>
          <w:highlight w:val="none"/>
        </w:rPr>
        <w:t xml:space="preserve"> </w:t>
      </w:r>
      <w:r/>
    </w:p>
    <w:p>
      <w:pPr>
        <w:pStyle w:val="718"/>
        <w:jc w:val="center"/>
        <w:spacing w:beforeAutospacing="0" w:afterAutospacing="0"/>
        <w:rPr>
          <w:color w:val="auto"/>
          <w:highlight w:val="none"/>
        </w:rPr>
      </w:pPr>
      <w:r>
        <w:rPr>
          <w:color w:val="auto"/>
          <w:highlight w:val="none"/>
        </w:rPr>
        <w:t xml:space="preserve"> </w:t>
      </w:r>
      <w:r/>
    </w:p>
    <w:p>
      <w:pPr>
        <w:pStyle w:val="718"/>
        <w:jc w:val="center"/>
        <w:spacing w:beforeAutospacing="0" w:afterAutospacing="0"/>
        <w:rPr>
          <w:color w:val="auto"/>
          <w:highlight w:val="none"/>
        </w:rPr>
      </w:pPr>
      <w:r>
        <w:rPr>
          <w:color w:val="auto"/>
          <w:highlight w:val="none"/>
        </w:rPr>
        <w:t xml:space="preserve"> </w:t>
      </w:r>
      <w:r/>
    </w:p>
    <w:p>
      <w:pPr>
        <w:pStyle w:val="718"/>
        <w:jc w:val="center"/>
        <w:spacing w:beforeAutospacing="0" w:afterAutospacing="0"/>
        <w:rPr>
          <w:color w:val="auto"/>
          <w:highlight w:val="none"/>
        </w:rPr>
      </w:pPr>
      <w:r>
        <w:rPr>
          <w:color w:val="auto"/>
          <w:highlight w:val="none"/>
        </w:rPr>
        <w:t xml:space="preserve"> </w:t>
      </w:r>
      <w:r/>
    </w:p>
    <w:p>
      <w:pPr>
        <w:pStyle w:val="71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71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71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投标供应商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        </w:t>
      </w:r>
      <w:r/>
    </w:p>
    <w:p>
      <w:pPr>
        <w:pStyle w:val="71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18"/>
        <w:jc w:val="center"/>
        <w:spacing w:beforeAutospacing="0" w:afterAutospacing="0" w:line="0" w:lineRule="atLeast"/>
        <w:rPr>
          <w:color w:val="auto"/>
          <w:highlight w:val="none"/>
        </w:rPr>
      </w:pPr>
      <w:r>
        <w:rPr>
          <w:color w:val="auto"/>
          <w:highlight w:val="none"/>
        </w:rPr>
        <w:t xml:space="preserve"> </w:t>
      </w:r>
      <w:r/>
    </w:p>
    <w:p>
      <w:pPr>
        <w:pStyle w:val="718"/>
        <w:jc w:val="both"/>
        <w:spacing w:beforeAutospacing="0" w:afterAutospacing="0" w:line="0" w:lineRule="atLeast"/>
        <w:rPr>
          <w:color w:val="auto"/>
          <w:highlight w:val="none"/>
        </w:rPr>
      </w:pPr>
      <w:r>
        <w:rPr>
          <w:color w:val="auto"/>
          <w:highlight w:val="none"/>
        </w:rPr>
        <w:t xml:space="preserve"> </w:t>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8"/>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2"/>
          <w:szCs w:val="32"/>
        </w:rPr>
        <w:t xml:space="preserve">投标文件目录</w:t>
      </w:r>
      <w:r/>
    </w:p>
    <w:p>
      <w:pPr>
        <w:pStyle w:val="718"/>
        <w:ind w:left="0" w:firstLine="480"/>
        <w:jc w:val="center"/>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 </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一、法人或者其他组织的营业执照等证明文件，自然人的身份证明</w:t>
      </w:r>
      <w:r/>
    </w:p>
    <w:p>
      <w:pPr>
        <w:pStyle w:val="718"/>
        <w:ind w:left="0" w:firstLine="480"/>
        <w:keepLines w:val="0"/>
        <w:keepNext w:val="0"/>
        <w:spacing w:before="0" w:beforeAutospacing="0" w:after="0" w:afterAutospacing="0" w:line="519" w:lineRule="atLeast"/>
        <w:widowControl/>
        <w:tabs>
          <w:tab w:val="left" w:pos="1332"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二、上一年度的财务状况报告（至少提供资产负债表、利润表、现金流量表，投标供应商成立不满一年无需提供，投标人投标时可提供2024或2025年度财务报表，在评标时均予以认可。）</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三、具备履行合同所必需的设备和专业技术能力的书面声明</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四、依法缴纳税收和社会保障资金的相关材料（提供提交投标文件截止时间前一年内至少一个月依法缴纳税收及缴纳社会保障资金的证明材料。投标供应商依法享受缓缴、免缴税收、社会保障资金的提供证明材料）</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五、参加政府采购活动前3年内在经营活动中没有重大违法记录的书面声明</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六、未被“信用中国”网站（www.creditchina.gov.cn）列入失信被执行人、重大税收违法案件当事人名单、政府采购严重失信行为记录名单。</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七、特定资格要求的证明文件</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八、法人授权书</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九、投标函</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十、中小企业声明函</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十一、残疾人福利性单位声明函</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十二、商务要求响应及偏离表</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十三、开标一览表</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十四、承诺书</w:t>
      </w:r>
      <w:r/>
    </w:p>
    <w:p>
      <w:pPr>
        <w:pStyle w:val="718"/>
        <w:ind w:left="0" w:firstLine="480"/>
        <w:jc w:val="both"/>
        <w:keepLines w:val="0"/>
        <w:keepNext w:val="0"/>
        <w:spacing w:before="0" w:beforeAutospacing="0" w:after="0" w:afterAutospacing="0" w:line="5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十五、盐城市政府采购事前信用承诺书</w:t>
      </w:r>
      <w:r/>
    </w:p>
    <w:p>
      <w:pPr>
        <w:pStyle w:val="71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8"/>
        <w:ind w:firstLine="480"/>
        <w:jc w:val="both"/>
        <w:spacing w:beforeAutospacing="0" w:afterAutospacing="0" w:line="0" w:lineRule="atLeast"/>
        <w:rPr>
          <w:color w:val="auto"/>
          <w:highlight w:val="none"/>
        </w:rPr>
      </w:pPr>
      <w:r>
        <w:rPr>
          <w:color w:val="auto"/>
          <w:highlight w:val="none"/>
        </w:rPr>
        <w:t xml:space="preserve"> </w:t>
      </w:r>
      <w:r/>
    </w:p>
    <w:p>
      <w:pPr>
        <w:pStyle w:val="718"/>
        <w:ind w:firstLine="480"/>
        <w:jc w:val="both"/>
        <w:spacing w:beforeAutospacing="0" w:afterAutospacing="0" w:line="0" w:lineRule="atLeast"/>
        <w:rPr>
          <w:color w:val="auto"/>
          <w:highlight w:val="none"/>
        </w:rPr>
      </w:pPr>
      <w:r>
        <w:rPr>
          <w:color w:val="auto"/>
          <w:highlight w:val="none"/>
        </w:rPr>
        <w:t xml:space="preserve"> </w:t>
      </w:r>
      <w:r/>
    </w:p>
    <w:p>
      <w:pPr>
        <w:pStyle w:val="718"/>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bookmarkStart w:id="240" w:name="_Toc15879"/>
      <w:r/>
      <w:bookmarkStart w:id="241" w:name="_Toc24735"/>
      <w:r>
        <w:rPr>
          <w:rFonts w:hint="eastAsia" w:ascii="黑体" w:hAnsi="宋体" w:eastAsia="黑体" w:cs="黑体"/>
          <w:i/>
          <w:color w:val="auto"/>
          <w:sz w:val="32"/>
          <w:szCs w:val="32"/>
          <w:highlight w:val="none"/>
          <w:u w:val="single"/>
        </w:rPr>
        <w:br w:type="page" w:clear="all"/>
      </w:r>
      <w:r/>
    </w:p>
    <w:p>
      <w:pPr>
        <w:pStyle w:val="718"/>
        <w:ind w:firstLine="480"/>
        <w:jc w:val="center"/>
        <w:spacing w:beforeAutospacing="0" w:afterAutospacing="0" w:line="0" w:lineRule="atLeast"/>
        <w:rPr>
          <w:color w:val="auto"/>
          <w:highlight w:val="none"/>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bookmarkEnd w:id="240"/>
      <w:r/>
      <w:bookmarkEnd w:id="241"/>
      <w:r/>
      <w:r/>
    </w:p>
    <w:p>
      <w:pPr>
        <w:pStyle w:val="718"/>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8"/>
        <w:jc w:val="center"/>
        <w:spacing w:beforeAutospacing="0" w:afterAutospacing="0"/>
        <w:rPr>
          <w:rFonts w:hint="eastAsia" w:eastAsia="黑体"/>
          <w:color w:val="auto"/>
          <w:highlight w:val="none"/>
          <w:lang w:val="en-US" w:eastAsia="zh-CN"/>
        </w:rPr>
        <w:outlineLvl w:val="0"/>
      </w:pPr>
      <w:r/>
      <w:bookmarkStart w:id="242" w:name="_Toc11362"/>
      <w:r/>
      <w:bookmarkStart w:id="243" w:name="_Toc13269"/>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bookmarkEnd w:id="242"/>
      <w:r/>
      <w:bookmarkEnd w:id="243"/>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（至少提供资产负债表、利润表、现金流量表，投标供应商成立不满一年无需提供）</w:t>
      </w:r>
      <w:r/>
    </w:p>
    <w:p>
      <w:pPr>
        <w:pStyle w:val="71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8"/>
        <w:jc w:val="center"/>
        <w:spacing w:beforeAutospacing="0" w:afterAutospacing="0"/>
        <w:rPr>
          <w:color w:val="auto"/>
          <w:highlight w:val="none"/>
        </w:rPr>
        <w:outlineLvl w:val="0"/>
      </w:pPr>
      <w:r/>
      <w:bookmarkStart w:id="244" w:name="_Toc24939"/>
      <w:r/>
      <w:bookmarkStart w:id="245" w:name="_Toc7270"/>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bookmarkEnd w:id="244"/>
      <w:r/>
      <w:bookmarkEnd w:id="245"/>
      <w:r/>
      <w:r/>
    </w:p>
    <w:p>
      <w:pPr>
        <w:pStyle w:val="718"/>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718"/>
        <w:ind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主要设备有：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pStyle w:val="718"/>
        <w:ind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8"/>
        <w:jc w:val="center"/>
        <w:spacing w:beforeAutospacing="0" w:afterAutospacing="0"/>
        <w:rPr>
          <w:color w:val="auto"/>
          <w:highlight w:val="none"/>
        </w:rPr>
        <w:outlineLvl w:val="0"/>
      </w:pPr>
      <w:r/>
      <w:bookmarkStart w:id="246" w:name="_Toc1958"/>
      <w:r/>
      <w:bookmarkStart w:id="247" w:name="_Toc30554"/>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bookmarkEnd w:id="246"/>
      <w:r/>
      <w:bookmarkEnd w:id="247"/>
      <w:r/>
      <w:r/>
    </w:p>
    <w:p>
      <w:pPr>
        <w:pStyle w:val="718"/>
        <w:ind w:firstLine="480"/>
        <w:jc w:val="both"/>
        <w:spacing w:beforeAutospacing="0" w:afterAutospacing="0"/>
        <w:rPr>
          <w:color w:val="auto"/>
          <w:highlight w:val="none"/>
        </w:rPr>
      </w:pPr>
      <w:r/>
      <w:bookmarkStart w:id="248"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依法享受缓缴、免缴税收、社会保障资金的提供证明材料。</w:t>
      </w:r>
      <w:bookmarkEnd w:id="248"/>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8"/>
        <w:jc w:val="both"/>
        <w:spacing w:beforeAutospacing="0" w:afterAutospacing="0"/>
        <w:rPr>
          <w:color w:val="auto"/>
          <w:highlight w:val="none"/>
        </w:rPr>
        <w:outlineLvl w:val="0"/>
      </w:pPr>
      <w:r/>
      <w:bookmarkStart w:id="249" w:name="_Toc13421"/>
      <w:r/>
      <w:bookmarkStart w:id="250" w:name="_Toc13927"/>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bookmarkEnd w:id="249"/>
      <w:r/>
      <w:bookmarkEnd w:id="250"/>
      <w:r/>
      <w:r/>
    </w:p>
    <w:p>
      <w:pPr>
        <w:pStyle w:val="718"/>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718"/>
        <w:jc w:val="both"/>
        <w:spacing w:beforeAutospacing="0" w:afterAutospacing="0" w:line="0" w:lineRule="atLeast"/>
        <w:rPr>
          <w:color w:val="auto"/>
          <w:sz w:val="28"/>
          <w:szCs w:val="28"/>
          <w:highlight w:val="none"/>
        </w:rPr>
      </w:pPr>
      <w:r>
        <w:rPr>
          <w:rFonts w:hint="eastAsia" w:ascii="宋体" w:hAnsi="宋体" w:eastAsia="宋体" w:cs="宋体"/>
          <w:b/>
          <w:color w:val="auto"/>
          <w:highlight w:val="none"/>
        </w:rPr>
        <w:t xml:space="preserve">  </w:t>
      </w:r>
      <w:r>
        <w:rPr>
          <w:rFonts w:hint="eastAsia" w:ascii="宋体" w:hAnsi="宋体" w:eastAsia="宋体" w:cs="宋体"/>
          <w:b/>
          <w:color w:val="auto"/>
          <w:sz w:val="28"/>
          <w:szCs w:val="28"/>
          <w:highlight w:val="none"/>
        </w:rPr>
        <w:t xml:space="preserve">  </w:t>
      </w:r>
      <w:r>
        <w:rPr>
          <w:rFonts w:hint="eastAsia" w:ascii="宋体" w:hAnsi="宋体" w:eastAsia="宋体" w:cs="宋体"/>
          <w:color w:val="auto"/>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8"/>
        <w:jc w:val="center"/>
        <w:spacing w:beforeAutospacing="0" w:afterAutospacing="0"/>
        <w:rPr>
          <w:rFonts w:hint="eastAsia" w:ascii="黑体" w:hAnsi="宋体" w:eastAsia="黑体" w:cs="黑体"/>
          <w:i/>
          <w:color w:val="auto"/>
          <w:sz w:val="32"/>
          <w:szCs w:val="32"/>
          <w:highlight w:val="none"/>
          <w:u w:val="single"/>
          <w:lang w:val="en-US" w:eastAsia="zh-CN"/>
        </w:rPr>
        <w:outlineLvl w:val="0"/>
      </w:pPr>
      <w:r/>
      <w:bookmarkStart w:id="251" w:name="_Toc8165"/>
      <w:r/>
      <w:bookmarkStart w:id="252" w:name="_Toc16688"/>
      <w:r>
        <w:rPr>
          <w:rFonts w:hint="eastAsia" w:ascii="黑体" w:hAnsi="宋体" w:eastAsia="黑体" w:cs="黑体"/>
          <w:i/>
          <w:color w:val="auto"/>
          <w:sz w:val="32"/>
          <w:szCs w:val="32"/>
          <w:highlight w:val="none"/>
          <w:u w:val="single"/>
          <w:lang w:val="en-US" w:eastAsia="zh-CN"/>
        </w:rPr>
        <w:t xml:space="preserve">六、未被“信用中国”网站（www.creditchina.gov.cn）列入失信被执行人、重大税收违法案件当事人名单、政府采购严重失信行为记录名单。</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18"/>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lang w:val="en-US" w:eastAsia="zh-CN"/>
        </w:rPr>
        <w:t xml:space="preserve">七、</w:t>
      </w:r>
      <w:r>
        <w:rPr>
          <w:rFonts w:hint="eastAsia" w:ascii="黑体" w:hAnsi="宋体" w:eastAsia="黑体" w:cs="黑体"/>
          <w:i/>
          <w:color w:val="auto"/>
          <w:sz w:val="32"/>
          <w:szCs w:val="32"/>
          <w:highlight w:val="none"/>
          <w:u w:val="single"/>
        </w:rPr>
        <w:t xml:space="preserve">特定资格要求的证明文件</w:t>
      </w:r>
      <w:bookmarkEnd w:id="251"/>
      <w:r/>
      <w:bookmarkEnd w:id="252"/>
      <w:r/>
      <w:r/>
    </w:p>
    <w:p>
      <w:pPr>
        <w:pStyle w:val="71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8"/>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18"/>
        <w:jc w:val="center"/>
        <w:spacing w:beforeAutospacing="0" w:afterAutospacing="0"/>
        <w:rPr>
          <w:color w:val="auto"/>
          <w:highlight w:val="none"/>
        </w:rPr>
        <w:outlineLvl w:val="0"/>
      </w:pPr>
      <w:r/>
      <w:bookmarkStart w:id="253" w:name="_Toc13287"/>
      <w:r/>
      <w:bookmarkStart w:id="254" w:name="_Toc1422"/>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、法人授权书</w:t>
      </w:r>
      <w:bookmarkEnd w:id="253"/>
      <w:r/>
      <w:bookmarkEnd w:id="254"/>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本授权书声明：____________（</w:t>
      </w:r>
      <w:r>
        <w:rPr>
          <w:rFonts w:hint="eastAsia" w:ascii="Times New Roman" w:hAnsi="Times New Roman"/>
          <w:color w:val="auto"/>
          <w:sz w:val="28"/>
          <w:szCs w:val="28"/>
          <w:highlight w:val="none"/>
          <w:lang w:eastAsia="zh-CN"/>
        </w:rPr>
        <w:t xml:space="preserve">投标供应商</w:t>
      </w:r>
      <w:r>
        <w:rPr>
          <w:rFonts w:ascii="Times New Roman" w:hAnsi="Times New Roman"/>
          <w:color w:val="auto"/>
          <w:sz w:val="28"/>
          <w:szCs w:val="28"/>
          <w:highlight w:val="none"/>
        </w:rPr>
        <w:t xml:space="preserve">名称）授权________________（被授权人的姓名）为我方就JSZC-</w:t>
      </w:r>
      <w:r>
        <w:rPr>
          <w:rFonts w:ascii="Times New Roman" w:hAnsi="Times New Roman"/>
          <w:color w:val="auto"/>
          <w:sz w:val="28"/>
          <w:szCs w:val="28"/>
          <w:highlight w:val="none"/>
          <w:u w:val="single"/>
        </w:rPr>
        <w:t xml:space="preserve">        </w:t>
      </w:r>
      <w:r>
        <w:rPr>
          <w:rFonts w:ascii="Times New Roman" w:hAnsi="Times New Roman"/>
          <w:color w:val="auto"/>
          <w:sz w:val="28"/>
          <w:szCs w:val="28"/>
          <w:highlight w:val="none"/>
        </w:rPr>
        <w:t xml:space="preserve">号项目采购活动的合法代理人，以本单位名义全权处理一切与该项目采购有关的事务。</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本授权书于______年____月____日起生效，特此声明。</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被授权人身份证号码：</w:t>
      </w:r>
      <w:r>
        <w:rPr>
          <w:rFonts w:ascii="Times New Roman" w:hAnsi="Times New Roman"/>
          <w:color w:val="auto"/>
          <w:sz w:val="28"/>
          <w:szCs w:val="28"/>
          <w:highlight w:val="none"/>
          <w:u w:val="single"/>
        </w:rPr>
        <w:t xml:space="preserve">                              </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被授权人联系电话：（手机）</w:t>
      </w:r>
      <w:r>
        <w:rPr>
          <w:rFonts w:ascii="Times New Roman" w:hAnsi="Times New Roman"/>
          <w:color w:val="auto"/>
          <w:sz w:val="28"/>
          <w:szCs w:val="28"/>
          <w:highlight w:val="none"/>
          <w:u w:val="single"/>
        </w:rPr>
        <w:t xml:space="preserve">                          </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授权单位名称：</w:t>
      </w:r>
      <w:r>
        <w:rPr>
          <w:rFonts w:ascii="Times New Roman" w:hAnsi="Times New Roman"/>
          <w:color w:val="auto"/>
          <w:sz w:val="28"/>
          <w:szCs w:val="28"/>
          <w:highlight w:val="none"/>
          <w:u w:val="single"/>
        </w:rPr>
        <w:t xml:space="preserve">（加盖CA电子公章）</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单位地址：</w:t>
      </w:r>
      <w:r>
        <w:rPr>
          <w:rFonts w:ascii="Times New Roman" w:hAnsi="Times New Roman"/>
          <w:color w:val="auto"/>
          <w:sz w:val="28"/>
          <w:szCs w:val="28"/>
          <w:highlight w:val="none"/>
          <w:u w:val="single"/>
        </w:rPr>
        <w:t xml:space="preserve">                                         </w:t>
      </w:r>
      <w:r/>
    </w:p>
    <w:p>
      <w:pPr>
        <w:pStyle w:val="718"/>
        <w:ind w:firstLine="560"/>
        <w:jc w:val="both"/>
        <w:keepLines w:val="0"/>
        <w:keepNext w:val="0"/>
        <w:pageBreakBefore w:val="0"/>
        <w:spacing w:beforeAutospacing="0" w:afterAutospacing="0" w:line="360" w:lineRule="auto"/>
        <w:widowControl w:val="off"/>
        <w:tabs>
          <w:tab w:val="left" w:pos="360" w:leader="none"/>
        </w:tabs>
        <w:rPr>
          <w:color w:val="auto"/>
          <w:sz w:val="28"/>
          <w:szCs w:val="28"/>
          <w:highlight w:val="none"/>
        </w:rPr>
      </w:pPr>
      <w:r>
        <w:rPr>
          <w:rFonts w:ascii="Times New Roman" w:hAnsi="Times New Roman"/>
          <w:color w:val="auto"/>
          <w:sz w:val="28"/>
          <w:szCs w:val="28"/>
          <w:highlight w:val="none"/>
        </w:rPr>
        <w:t xml:space="preserve">      日期：</w:t>
      </w:r>
      <w:bookmarkStart w:id="255" w:name="_Hlt26671380"/>
      <w:r/>
      <w:bookmarkStart w:id="256" w:name="_Hlt26955070"/>
      <w:r/>
      <w:bookmarkStart w:id="257" w:name="_格式3__银行出具的资信证明"/>
      <w:r>
        <w:rPr>
          <w:rFonts w:ascii="Times New Roman" w:hAnsi="Times New Roman"/>
          <w:color w:val="auto"/>
          <w:sz w:val="28"/>
          <w:szCs w:val="28"/>
          <w:highlight w:val="none"/>
          <w:u w:val="single"/>
        </w:rPr>
        <w:t xml:space="preserve">                                         </w:t>
      </w:r>
      <w:r/>
    </w:p>
    <w:p>
      <w:pPr>
        <w:pStyle w:val="718"/>
        <w:ind w:firstLine="420"/>
        <w:jc w:val="both"/>
        <w:spacing w:beforeAutospacing="0" w:afterAutospacing="0"/>
        <w:rPr>
          <w:color w:val="auto"/>
          <w:highlight w:val="none"/>
        </w:rPr>
      </w:pPr>
      <w:r>
        <w:rPr>
          <w:color w:val="auto"/>
          <w:highlight w:val="none"/>
        </w:rPr>
        <w:t xml:space="preserve"> </w:t>
      </w:r>
      <w:r/>
    </w:p>
    <w:p>
      <w:pPr>
        <w:pStyle w:val="718"/>
        <w:jc w:val="both"/>
        <w:spacing w:beforeAutospacing="0" w:afterAutospacing="0"/>
        <w:rPr>
          <w:color w:val="auto"/>
          <w:highlight w:val="none"/>
        </w:rPr>
      </w:pPr>
      <w:r>
        <w:rPr>
          <w:color w:val="auto"/>
          <w:highlight w:val="none"/>
        </w:rPr>
        <w:t xml:space="preserve"> </w:t>
      </w:r>
      <w:r/>
    </w:p>
    <w:p>
      <w:pPr>
        <w:pStyle w:val="718"/>
        <w:jc w:val="both"/>
        <w:spacing w:beforeAutospacing="0" w:afterAutospacing="0" w:line="0" w:lineRule="atLeast"/>
        <w:rPr>
          <w:color w:val="auto"/>
          <w:highlight w:val="none"/>
        </w:rPr>
      </w:pPr>
      <w:r>
        <w:rPr>
          <w:color w:val="auto"/>
          <w:highlight w:val="none"/>
        </w:rPr>
        <w:t xml:space="preserve"> </w:t>
      </w:r>
      <w:r/>
    </w:p>
    <w:p>
      <w:pPr>
        <w:pStyle w:val="718"/>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outlineLvl w:val="0"/>
      </w:pPr>
      <w:r>
        <w:rPr>
          <w:rFonts w:hint="eastAsia" w:ascii="宋体" w:hAnsi="宋体" w:eastAsia="宋体" w:cs="宋体"/>
          <w:b/>
          <w:color w:val="auto"/>
          <w:highlight w:val="none"/>
        </w:rPr>
        <w:br w:type="page" w:clear="all"/>
      </w:r>
      <w:bookmarkStart w:id="258" w:name="_Toc31002"/>
      <w:r/>
      <w:bookmarkStart w:id="259" w:name="_Toc19630"/>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lang w:val="en-US" w:eastAsia="zh-CN"/>
        </w:rPr>
        <w:t xml:space="preserve">九</w:t>
      </w:r>
      <w:r>
        <w:rPr>
          <w:rFonts w:hint="eastAsia" w:ascii="黑体" w:hAnsi="宋体" w:eastAsia="黑体" w:cs="黑体"/>
          <w:b/>
          <w:color w:val="auto"/>
          <w:sz w:val="32"/>
          <w:szCs w:val="32"/>
          <w:highlight w:val="none"/>
        </w:rPr>
        <w:t xml:space="preserve">、投标函</w:t>
      </w:r>
      <w:bookmarkEnd w:id="258"/>
      <w:r/>
      <w:bookmarkEnd w:id="259"/>
      <w:r/>
      <w:r/>
    </w:p>
    <w:p>
      <w:pPr>
        <w:pStyle w:val="718"/>
        <w:ind w:left="0" w:firstLine="560"/>
        <w:keepLines w:val="0"/>
        <w:keepNext w:val="0"/>
        <w:pageBreakBefore w:val="0"/>
        <w:spacing w:beforeAutospacing="0" w:afterAutospacing="0" w:line="336" w:lineRule="auto"/>
        <w:widowControl w:val="off"/>
        <w:rPr>
          <w:rFonts w:hint="eastAsia" w:eastAsia="宋体"/>
          <w:color w:val="auto"/>
          <w:sz w:val="28"/>
          <w:szCs w:val="28"/>
          <w:highlight w:val="none"/>
          <w:u w:val="singl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lang w:val="en-US" w:eastAsia="zh-CN"/>
        </w:rPr>
        <w:t xml:space="preserve">采购人名称</w:t>
      </w:r>
      <w:r>
        <w:rPr>
          <w:rFonts w:hint="eastAsia" w:ascii="宋体" w:hAnsi="宋体" w:eastAsia="宋体" w:cs="宋体"/>
          <w:color w:val="auto"/>
          <w:sz w:val="28"/>
          <w:szCs w:val="28"/>
          <w:highlight w:val="none"/>
          <w:u w:val="single"/>
          <w:lang w:eastAsia="zh-CN"/>
        </w:rPr>
        <w:t xml:space="preserve">）</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根据贵方的</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号</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，正式授权下述签字人______(姓名)代表我方______________（</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的名称），全权处理本次项目投标的有关事宜。</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据此函，__________签字人兹宣布同意如下：</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1.按</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规定的各项要求，向买方提供所需服务（包含与服务相关的货物）。</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2.我们完全理解贵方不一定将合同授予最低报价的</w:t>
      </w: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3.我们已详细审核全部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及其有效补充文件，我们知道必须放弃提出含糊不清或误解问题的权利。</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4.我们同意从规定的开标日期起遵循本投标文件，并在规定的投标有效期期满之前均具有约束力。</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5.同意向贵方提供贵方可能另外要求的与投标有关的任何证据或资料，并保证我方已提供和将要提供的文件是真实的、准确的。</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6.一旦我方中标,我方将根据</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的规定，严格履行合同的责任和义务,并保证在</w:t>
      </w:r>
      <w:r>
        <w:rPr>
          <w:rFonts w:hint="eastAsia" w:ascii="宋体" w:hAnsi="宋体" w:eastAsia="宋体" w:cs="宋体"/>
          <w:color w:val="auto"/>
          <w:sz w:val="28"/>
          <w:szCs w:val="28"/>
          <w:highlight w:val="none"/>
          <w:lang w:eastAsia="zh-CN"/>
        </w:rPr>
        <w:t xml:space="preserve">采购文件</w:t>
      </w:r>
      <w:r>
        <w:rPr>
          <w:rFonts w:hint="eastAsia" w:ascii="宋体" w:hAnsi="宋体" w:eastAsia="宋体" w:cs="宋体"/>
          <w:color w:val="auto"/>
          <w:sz w:val="28"/>
          <w:szCs w:val="28"/>
          <w:highlight w:val="none"/>
        </w:rPr>
        <w:t xml:space="preserve">规定的时间完成项目，交付买方验收、使用。</w:t>
      </w:r>
      <w:r/>
    </w:p>
    <w:p>
      <w:pPr>
        <w:pStyle w:val="718"/>
        <w:ind w:left="0" w:firstLine="560"/>
        <w:keepLines w:val="0"/>
        <w:keepNext w:val="0"/>
        <w:pageBreakBefore w:val="0"/>
        <w:spacing w:beforeAutospacing="0" w:afterAutospacing="0" w:line="336" w:lineRule="auto"/>
        <w:widowControl w:val="off"/>
        <w:rPr>
          <w:color w:val="auto"/>
          <w:sz w:val="28"/>
          <w:szCs w:val="28"/>
          <w:highlight w:val="none"/>
        </w:rPr>
      </w:pPr>
      <w:r>
        <w:rPr>
          <w:rFonts w:hint="eastAsia" w:ascii="宋体" w:hAnsi="宋体" w:eastAsia="宋体" w:cs="宋体"/>
          <w:color w:val="auto"/>
          <w:sz w:val="28"/>
          <w:szCs w:val="28"/>
          <w:highlight w:val="none"/>
        </w:rPr>
        <w:t xml:space="preserve">7.与本投标有关的正式通讯地址为：</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地          址：</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邮          编：</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电          话：</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传          真：</w:t>
      </w:r>
      <w:r/>
    </w:p>
    <w:p>
      <w:pPr>
        <w:pStyle w:val="718"/>
        <w:ind w:left="0" w:firstLine="560"/>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lang w:eastAsia="zh-CN"/>
        </w:rPr>
        <w:t xml:space="preserve">投标供应商</w:t>
      </w:r>
      <w:r>
        <w:rPr>
          <w:rFonts w:hint="eastAsia" w:ascii="宋体" w:hAnsi="宋体" w:eastAsia="宋体" w:cs="宋体"/>
          <w:color w:val="auto"/>
          <w:sz w:val="28"/>
          <w:szCs w:val="28"/>
          <w:highlight w:val="none"/>
        </w:rPr>
        <w:t xml:space="preserve">开户行：</w:t>
      </w:r>
      <w:r/>
    </w:p>
    <w:p>
      <w:pPr>
        <w:pStyle w:val="718"/>
        <w:ind w:lef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          号： </w:t>
      </w:r>
      <w:r/>
    </w:p>
    <w:p>
      <w:pPr>
        <w:pStyle w:val="718"/>
        <w:ind w:left="0" w:firstLine="560"/>
        <w:jc w:val="right"/>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日  期：________年____月____日</w:t>
      </w:r>
      <w:r/>
    </w:p>
    <w:p>
      <w:pPr>
        <w:rPr>
          <w:rFonts w:hint="eastAsia" w:ascii="黑体" w:hAnsi="宋体" w:eastAsia="黑体" w:cs="黑体"/>
          <w:b/>
          <w:color w:val="auto"/>
          <w:sz w:val="32"/>
          <w:szCs w:val="32"/>
          <w:highlight w:val="none"/>
          <w:lang w:val="en-US" w:eastAsia="zh-CN"/>
        </w:rPr>
      </w:pPr>
      <w:r/>
      <w:bookmarkStart w:id="260" w:name="_Toc3526"/>
      <w:r>
        <w:rPr>
          <w:rFonts w:hint="eastAsia" w:ascii="黑体" w:hAnsi="宋体" w:eastAsia="黑体" w:cs="黑体"/>
          <w:b/>
          <w:color w:val="auto"/>
          <w:sz w:val="32"/>
          <w:szCs w:val="32"/>
          <w:highlight w:val="none"/>
          <w:lang w:val="en-US" w:eastAsia="zh-CN"/>
        </w:rPr>
        <w:br w:type="page" w:clear="all"/>
      </w:r>
      <w:r/>
    </w:p>
    <w:p>
      <w:pPr>
        <w:pStyle w:val="718"/>
        <w:jc w:val="center"/>
        <w:spacing w:beforeAutospacing="0" w:afterAutospacing="0" w:line="0" w:lineRule="atLeast"/>
        <w:rPr>
          <w:color w:val="auto"/>
          <w:highlight w:val="none"/>
        </w:rPr>
        <w:outlineLvl w:val="0"/>
      </w:pPr>
      <w:r/>
      <w:bookmarkStart w:id="261" w:name="_Toc32273"/>
      <w:r>
        <w:rPr>
          <w:rFonts w:hint="eastAsia" w:ascii="黑体" w:hAnsi="宋体" w:eastAsia="黑体" w:cs="黑体"/>
          <w:b/>
          <w:color w:val="auto"/>
          <w:sz w:val="32"/>
          <w:szCs w:val="32"/>
          <w:highlight w:val="none"/>
          <w:lang w:val="en-US" w:eastAsia="zh-CN"/>
        </w:rPr>
        <w:t xml:space="preserve">十、中小</w:t>
      </w:r>
      <w:r>
        <w:rPr>
          <w:rFonts w:hint="eastAsia" w:ascii="黑体" w:hAnsi="宋体" w:eastAsia="黑体" w:cs="黑体"/>
          <w:b/>
          <w:color w:val="auto"/>
          <w:sz w:val="32"/>
          <w:szCs w:val="32"/>
          <w:highlight w:val="none"/>
        </w:rPr>
        <w:t xml:space="preserve">企业声明函</w:t>
      </w:r>
      <w:bookmarkEnd w:id="260"/>
      <w:r/>
      <w:bookmarkEnd w:id="261"/>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8"/>
        <w:ind w:right="720"/>
        <w:jc w:val="both"/>
        <w:spacing w:beforeAutospacing="0" w:afterAutospacing="0" w:line="0" w:lineRule="atLeast"/>
        <w:rPr>
          <w:color w:val="auto"/>
          <w:highlight w:val="none"/>
        </w:rPr>
      </w:pPr>
      <w:r>
        <w:rPr>
          <w:color w:val="auto"/>
          <w:highlight w:val="none"/>
        </w:rPr>
        <w:t xml:space="preserve"> </w:t>
      </w:r>
      <w:r/>
    </w:p>
    <w:p>
      <w:pPr>
        <w:pStyle w:val="71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8"/>
        <w:ind w:firstLine="240"/>
        <w:jc w:val="both"/>
        <w:spacing w:beforeAutospacing="0" w:afterAutospacing="0" w:line="0" w:lineRule="atLeast"/>
        <w:rPr>
          <w:color w:val="auto"/>
          <w:highlight w:val="none"/>
        </w:rPr>
      </w:pPr>
      <w:r>
        <w:rPr>
          <w:color w:val="auto"/>
          <w:highlight w:val="none"/>
        </w:rPr>
        <w:t xml:space="preserve"> </w:t>
      </w:r>
      <w:r/>
    </w:p>
    <w:p>
      <w:pPr>
        <w:pStyle w:val="71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8"/>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bookmarkStart w:id="262" w:name="_Toc11046"/>
      <w:r/>
      <w:bookmarkStart w:id="263" w:name="_Toc19283"/>
      <w:r>
        <w:rPr>
          <w:rFonts w:hint="eastAsia" w:ascii="黑体" w:hAnsi="宋体" w:eastAsia="黑体" w:cs="黑体"/>
          <w:b/>
          <w:color w:val="auto"/>
          <w:sz w:val="32"/>
          <w:szCs w:val="32"/>
          <w:highlight w:val="none"/>
        </w:rPr>
        <w:t xml:space="preserve"> 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w:t>
      </w:r>
      <w:bookmarkEnd w:id="262"/>
      <w:r/>
      <w:bookmarkEnd w:id="263"/>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lang w:eastAsia="zh-CN"/>
        </w:rPr>
        <w:t xml:space="preserve">〔2017〕141号</w:t>
      </w:r>
      <w:r>
        <w:rPr>
          <w:rFonts w:hint="eastAsia" w:ascii="宋体" w:hAnsi="宋体" w:eastAsia="宋体" w:cs="宋体"/>
          <w:color w:val="auto"/>
          <w:sz w:val="28"/>
          <w:szCs w:val="28"/>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项目（分包号：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）采购活动由本单位提供服务。</w:t>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8"/>
        <w:ind w:right="0" w:firstLine="560"/>
        <w:jc w:val="both"/>
        <w:keepLines w:val="0"/>
        <w:keepNext w:val="0"/>
        <w:pageBreakBefore w:val="0"/>
        <w:spacing w:beforeAutospacing="0" w:afterAutospacing="0" w:line="360" w:lineRule="auto"/>
        <w:widowControl w:val="off"/>
        <w:rPr>
          <w:rFonts w:hint="eastAsia" w:eastAsia="宋体"/>
          <w:color w:val="auto"/>
          <w:sz w:val="28"/>
          <w:szCs w:val="28"/>
          <w:highlight w:val="none"/>
          <w:lang w:eastAsia="zh-CN"/>
        </w:rPr>
      </w:pPr>
      <w:r>
        <w:rPr>
          <w:rFonts w:hint="eastAsia" w:ascii="宋体" w:hAnsi="宋体" w:eastAsia="宋体" w:cs="宋体"/>
          <w:color w:val="auto"/>
          <w:sz w:val="28"/>
          <w:szCs w:val="28"/>
          <w:highlight w:val="none"/>
        </w:rPr>
        <w:t xml:space="preserve">备注：1、供应商如不提供此声明函，价格将不做相应扣除</w:t>
      </w:r>
      <w:r>
        <w:rPr>
          <w:rFonts w:hint="eastAsia" w:ascii="宋体" w:hAnsi="宋体" w:eastAsia="宋体" w:cs="宋体"/>
          <w:color w:val="auto"/>
          <w:sz w:val="28"/>
          <w:szCs w:val="28"/>
          <w:highlight w:val="none"/>
          <w:lang w:eastAsia="zh-CN"/>
        </w:rPr>
        <w:t xml:space="preserve">（如项目全面面向中小企业，则资格审查不通过）。</w:t>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中标供应商</w:t>
      </w:r>
      <w:r>
        <w:rPr>
          <w:rFonts w:hint="eastAsia" w:ascii="宋体" w:hAnsi="宋体" w:eastAsia="宋体" w:cs="宋体"/>
          <w:color w:val="auto"/>
          <w:sz w:val="28"/>
          <w:szCs w:val="28"/>
          <w:highlight w:val="none"/>
        </w:rPr>
        <w:t xml:space="preserve">为残疾人福利单位的，此声明函将随中标结果同时公告，接受社会监督</w:t>
      </w:r>
      <w:r/>
    </w:p>
    <w:p>
      <w:pPr>
        <w:pStyle w:val="718"/>
        <w:ind w:right="0" w:firstLine="560"/>
        <w:jc w:val="both"/>
        <w:keepLines w:val="0"/>
        <w:keepNext w:val="0"/>
        <w:pageBreakBefore w:val="0"/>
        <w:spacing w:beforeAutospacing="0" w:afterAutospacing="0" w:line="360" w:lineRule="auto"/>
        <w:widowControl w:val="off"/>
        <w:rPr>
          <w:color w:val="auto"/>
          <w:sz w:val="28"/>
          <w:szCs w:val="28"/>
          <w:highlight w:val="none"/>
        </w:rPr>
      </w:pPr>
      <w:r>
        <w:rPr>
          <w:color w:val="auto"/>
          <w:sz w:val="28"/>
          <w:szCs w:val="28"/>
          <w:highlight w:val="none"/>
        </w:rPr>
        <w:t xml:space="preserve"> </w:t>
      </w:r>
      <w:r/>
    </w:p>
    <w:p>
      <w:pPr>
        <w:pStyle w:val="718"/>
        <w:ind w:right="0" w:firstLine="64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ascii="仿宋_GB2312" w:eastAsia="仿宋_GB2312" w:cs="仿宋_GB2312"/>
          <w:color w:val="auto"/>
          <w:sz w:val="32"/>
          <w:szCs w:val="32"/>
          <w:highlight w:val="none"/>
        </w:rPr>
        <w:t xml:space="preserve">             </w:t>
      </w:r>
      <w:r>
        <w:rPr>
          <w:rFonts w:hint="eastAsia" w:ascii="宋体" w:hAnsi="宋体" w:eastAsia="宋体" w:cs="宋体"/>
          <w:color w:val="auto"/>
          <w:sz w:val="28"/>
          <w:szCs w:val="28"/>
          <w:highlight w:val="none"/>
        </w:rPr>
        <w:t xml:space="preserve">          供应商全称（加盖CA电子公章）：</w:t>
      </w:r>
      <w:r/>
    </w:p>
    <w:p>
      <w:pPr>
        <w:pStyle w:val="718"/>
        <w:ind w:right="0" w:firstLine="560"/>
        <w:jc w:val="center"/>
        <w:keepLines w:val="0"/>
        <w:keepNext w:val="0"/>
        <w:pageBreakBefore w:val="0"/>
        <w:spacing w:beforeAutospacing="0" w:afterAutospacing="0" w:line="360" w:lineRule="auto"/>
        <w:widowControl w:val="off"/>
        <w:tabs>
          <w:tab w:val="left" w:pos="4864" w:leader="none"/>
        </w:tabs>
        <w:rPr>
          <w:color w:val="auto"/>
          <w:sz w:val="28"/>
          <w:szCs w:val="28"/>
          <w:highlight w:val="none"/>
        </w:rPr>
      </w:pPr>
      <w:r>
        <w:rPr>
          <w:rFonts w:hint="eastAsia" w:ascii="宋体" w:hAnsi="宋体" w:eastAsia="宋体" w:cs="宋体"/>
          <w:color w:val="auto"/>
          <w:sz w:val="28"/>
          <w:szCs w:val="28"/>
          <w:highlight w:val="none"/>
        </w:rPr>
        <w:t xml:space="preserve">        日  期：</w:t>
      </w:r>
      <w:r/>
    </w:p>
    <w:p>
      <w:pPr>
        <w:pStyle w:val="718"/>
        <w:jc w:val="center"/>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718"/>
        <w:jc w:val="center"/>
        <w:spacing w:beforeAutospacing="0" w:afterAutospacing="0"/>
        <w:rPr>
          <w:rFonts w:hint="eastAsia" w:ascii="黑体" w:hAnsi="宋体" w:eastAsia="黑体" w:cs="黑体"/>
          <w:b/>
          <w:color w:val="auto"/>
          <w:sz w:val="32"/>
          <w:szCs w:val="32"/>
          <w:highlight w:val="none"/>
        </w:rPr>
      </w:pPr>
      <w:r/>
      <w:bookmarkStart w:id="264" w:name="_Toc26702"/>
      <w:r/>
      <w:bookmarkStart w:id="265" w:name="_Toc7740"/>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w:t>
      </w:r>
      <w:bookmarkEnd w:id="264"/>
      <w:r/>
      <w:bookmarkEnd w:id="265"/>
      <w:r/>
      <w:bookmarkStart w:id="266" w:name="_Toc25957"/>
      <w:r/>
      <w:bookmarkStart w:id="267" w:name="_Toc17047"/>
      <w:r/>
      <w:bookmarkStart w:id="268" w:name="_Hlt26955054"/>
      <w:r>
        <w:rPr>
          <w:rFonts w:hint="eastAsia" w:ascii="黑体" w:hAnsi="宋体" w:eastAsia="黑体" w:cs="黑体"/>
          <w:b/>
          <w:color w:val="auto"/>
          <w:sz w:val="32"/>
          <w:szCs w:val="32"/>
          <w:highlight w:val="none"/>
        </w:rPr>
        <w:t xml:space="preserve">商务要求响应及偏离表</w:t>
      </w:r>
      <w:r/>
    </w:p>
    <w:p>
      <w:pPr>
        <w:pStyle w:val="718"/>
        <w:numPr>
          <w:ilvl w:val="0"/>
          <w:numId w:val="0"/>
        </w:numPr>
        <w:jc w:val="center"/>
        <w:spacing w:beforeAutospacing="0" w:afterAutospacing="0"/>
        <w:rPr>
          <w:color w:val="auto"/>
          <w:highlight w:val="none"/>
        </w:rPr>
        <w:outlineLvl w:val="0"/>
      </w:pPr>
      <w:r>
        <w:rPr>
          <w:rFonts w:hint="eastAsia" w:ascii="黑体" w:hAnsi="宋体" w:eastAsia="黑体" w:cs="黑体"/>
          <w:b/>
          <w:color w:val="auto"/>
          <w:sz w:val="32"/>
          <w:szCs w:val="32"/>
          <w:highlight w:val="none"/>
        </w:rPr>
        <w:t xml:space="preserve">（分包号：</w:t>
      </w:r>
      <w:r>
        <w:rPr>
          <w:rFonts w:hint="eastAsia" w:ascii="黑体" w:hAnsi="宋体" w:eastAsia="黑体" w:cs="黑体"/>
          <w:b/>
          <w:color w:val="auto"/>
          <w:sz w:val="32"/>
          <w:szCs w:val="32"/>
          <w:highlight w:val="none"/>
          <w:u w:val="single"/>
          <w:lang w:val="en-US" w:eastAsia="zh-CN"/>
        </w:rPr>
        <w:t xml:space="preserve">             </w:t>
      </w:r>
      <w:r>
        <w:rPr>
          <w:rFonts w:hint="eastAsia" w:ascii="黑体" w:hAnsi="宋体" w:eastAsia="黑体" w:cs="黑体"/>
          <w:b/>
          <w:color w:val="auto"/>
          <w:sz w:val="32"/>
          <w:szCs w:val="32"/>
          <w:highlight w:val="none"/>
        </w:rPr>
        <w:t xml:space="preserve">）</w:t>
      </w:r>
      <w:bookmarkEnd w:id="266"/>
      <w:r/>
      <w:bookmarkEnd w:id="267"/>
      <w:r/>
      <w:r/>
    </w:p>
    <w:tbl>
      <w:tblPr>
        <w:tblStyle w:val="696"/>
        <w:tblW w:w="959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2370"/>
        <w:gridCol w:w="2370"/>
        <w:gridCol w:w="2368"/>
        <w:gridCol w:w="1621"/>
      </w:tblGrid>
      <w:tr>
        <w:trPr>
          <w:jc w:val="center"/>
          <w:trHeight w:val="1391"/>
        </w:trPr>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采购文件要求</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投标响应情况</w:t>
            </w:r>
            <w:r/>
          </w:p>
        </w:tc>
        <w:tc>
          <w:tcPr>
            <w:shd w:val="clear" w:color="auto" w:fill="auto"/>
            <w:tcW w:w="23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超出、符合或偏离</w:t>
            </w:r>
            <w:r/>
          </w:p>
        </w:tc>
        <w:tc>
          <w:tcPr>
            <w:shd w:val="clear" w:color="auto" w:fill="auto"/>
            <w:tcW w:w="16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证明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材料</w:t>
            </w:r>
            <w:r/>
          </w:p>
        </w:tc>
      </w:tr>
      <w:tr>
        <w:trPr>
          <w:jc w:val="center"/>
          <w:trHeight w:val="357"/>
        </w:trPr>
        <w:tc>
          <w:tcPr>
            <w:shd w:val="clear" w:color="auto" w:fill="auto"/>
            <w:tcW w:w="868" w:type="dxa"/>
            <w:vAlign w:val="center"/>
            <w:textDirection w:val="lrTb"/>
            <w:noWrap w:val="false"/>
          </w:tcPr>
          <w:p>
            <w:pPr>
              <w:jc w:val="center"/>
              <w:rPr>
                <w:rFonts w:hint="eastAsia" w:ascii="Calibri" w:hAnsi="Calibri" w:eastAsia="宋体" w:cs="Calibri"/>
                <w:i w:val="0"/>
                <w:iCs w:val="0"/>
                <w:color w:val="auto"/>
                <w:sz w:val="24"/>
                <w:szCs w:val="24"/>
                <w:highlight w:val="none"/>
                <w:u w:val="none"/>
              </w:rPr>
            </w:pPr>
            <w:r>
              <w:rPr>
                <w:rFonts w:hint="eastAsia"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r>
        <w:trPr>
          <w:jc w:val="center"/>
          <w:trHeight w:val="370"/>
        </w:trPr>
        <w:tc>
          <w:tcPr>
            <w:shd w:val="clear" w:color="auto" w:fill="auto"/>
            <w:tcW w:w="8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auto"/>
                <w:sz w:val="24"/>
                <w:szCs w:val="24"/>
                <w:highlight w:val="none"/>
                <w:u w:val="none"/>
              </w:rPr>
            </w:pPr>
            <w:r>
              <w:rPr>
                <w:rFonts w:hint="default" w:ascii="Calibri" w:hAnsi="Calibri" w:eastAsia="宋体" w:cs="Calibri"/>
                <w:i w:val="0"/>
                <w:iCs w:val="0"/>
                <w:color w:val="auto"/>
                <w:sz w:val="24"/>
                <w:szCs w:val="24"/>
                <w:highlight w:val="none"/>
                <w:u w:val="none"/>
              </w:rPr>
            </w:r>
            <w:r/>
          </w:p>
        </w:tc>
      </w:tr>
    </w:tbl>
    <w:p>
      <w:pPr>
        <w:pStyle w:val="71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rPr>
          <w:color w:val="auto"/>
          <w:highlight w:val="none"/>
        </w:rPr>
      </w:pPr>
      <w:r>
        <w:rPr>
          <w:color w:val="auto"/>
          <w:highlight w:val="none"/>
        </w:rPr>
        <w:t xml:space="preserve"> </w:t>
      </w:r>
      <w:bookmarkStart w:id="269" w:name="_Hlt26671374"/>
      <w:r/>
      <w:bookmarkStart w:id="270" w:name="_Hlt26955066"/>
      <w:r/>
      <w:bookmarkStart w:id="271" w:name="_格式2__法定代表人授权书"/>
      <w:r/>
      <w:bookmarkStart w:id="272" w:name="_Hlt26609389"/>
      <w:r/>
      <w:bookmarkStart w:id="273" w:name="_Toc462564146"/>
      <w:r/>
      <w:r/>
    </w:p>
    <w:p>
      <w:pPr>
        <w:rPr>
          <w:color w:val="auto"/>
          <w:highlight w:val="none"/>
        </w:rPr>
      </w:pPr>
      <w:r>
        <w:rPr>
          <w:color w:val="auto"/>
          <w:highlight w:val="none"/>
        </w:rPr>
        <w:br w:type="page" w:clear="all"/>
      </w:r>
      <w:r/>
    </w:p>
    <w:p>
      <w:pPr>
        <w:pStyle w:val="718"/>
        <w:jc w:val="center"/>
        <w:spacing w:beforeAutospacing="0" w:afterAutospacing="0"/>
        <w:rPr>
          <w:color w:val="auto"/>
          <w:highlight w:val="none"/>
        </w:rPr>
        <w:outlineLvl w:val="0"/>
      </w:pPr>
      <w:r/>
      <w:bookmarkStart w:id="274" w:name="_Toc29953"/>
      <w:r/>
      <w:bookmarkStart w:id="275" w:name="_Toc10070"/>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bookmarkEnd w:id="274"/>
      <w:r/>
      <w:bookmarkEnd w:id="275"/>
      <w:r/>
      <w:r/>
    </w:p>
    <w:p>
      <w:pPr>
        <w:pStyle w:val="718"/>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全称（加盖CA电子签章）：</w:t>
      </w:r>
      <w:r/>
    </w:p>
    <w:p>
      <w:pPr>
        <w:pStyle w:val="71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1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1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p>
      <w:pPr>
        <w:pStyle w:val="718"/>
        <w:jc w:val="both"/>
        <w:spacing w:beforeAutospacing="0" w:afterAutospacing="0"/>
        <w:rPr>
          <w:color w:val="auto"/>
          <w:highlight w:val="none"/>
        </w:rPr>
      </w:pPr>
      <w:r>
        <w:rPr>
          <w:color w:val="auto"/>
          <w:highlight w:val="none"/>
        </w:rPr>
        <w:t xml:space="preserve"> </w:t>
      </w:r>
      <w:r/>
    </w:p>
    <w:tbl>
      <w:tblPr>
        <w:tblStyle w:val="696"/>
        <w:tblW w:w="9439"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6"/>
        <w:gridCol w:w="7183"/>
      </w:tblGrid>
      <w:tr>
        <w:trPr>
          <w:trHeight w:val="753"/>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718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5"/>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投标优惠率</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84"/>
        </w:trPr>
        <w:tc>
          <w:tcPr>
            <w:tcW w:w="225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其他说明</w:t>
            </w:r>
            <w:r/>
          </w:p>
        </w:tc>
        <w:tc>
          <w:tcPr>
            <w:tcW w:w="7183"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1.本项目采用投标优惠率方式计价，合同基准价计算公式：合同基准价=最高限价×（1-投标优惠率）；项目最终结算总价不得超过本项目设定的最高限价。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2.本项目0号柴油、95号汽油结算单价统一按下列公式计算：</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结算单价=采购当日中午12时，江苏省发展和改革委员会公布的江苏省成品油最高零售价格表中对应0号柴油/95号汽油最高零售价格×（1-投标优惠率）。</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3.本项目预算金额：人民币119.2万元；最高限价：人民币119.2万元。最终结算金额按实际合格供应数量×应结算单价据实核算，项目累计最终结算总额不得</w:t>
            </w:r>
            <w:r>
              <w:rPr>
                <w:rFonts w:hint="eastAsia" w:ascii="宋体" w:hAnsi="宋体" w:eastAsia="宋体" w:cs="宋体"/>
                <w:color w:val="auto"/>
                <w:sz w:val="24"/>
                <w:szCs w:val="24"/>
                <w:highlight w:val="none"/>
                <w:lang w:val="en-US" w:eastAsia="zh-CN"/>
              </w:rPr>
              <w:t xml:space="preserve">高于</w:t>
            </w:r>
            <w:r>
              <w:rPr>
                <w:rFonts w:hint="eastAsia" w:ascii="宋体" w:hAnsi="宋体" w:eastAsia="宋体" w:cs="宋体"/>
                <w:color w:val="auto"/>
                <w:sz w:val="24"/>
                <w:szCs w:val="24"/>
                <w:highlight w:val="none"/>
              </w:rPr>
              <w:t xml:space="preserve">最高限价。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4.结算单价包含油品价款、运输费、装卸费、加注费、税费、安全防护、保险、人工等完成本项目全部服务的所有费用，甲方无需另行支付其他费用。</w:t>
            </w:r>
            <w:r/>
          </w:p>
        </w:tc>
      </w:tr>
    </w:tbl>
    <w:p>
      <w:pPr>
        <w:pStyle w:val="718"/>
        <w:jc w:val="both"/>
        <w:spacing w:beforeAutospacing="0" w:afterAutospacing="0"/>
        <w:rPr>
          <w:color w:val="auto"/>
          <w:highlight w:val="none"/>
        </w:rPr>
      </w:pPr>
      <w:r>
        <w:rPr>
          <w:color w:val="auto"/>
          <w:highlight w:val="none"/>
        </w:rPr>
      </w:r>
      <w:r/>
    </w:p>
    <w:p>
      <w:pPr>
        <w:pStyle w:val="718"/>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18"/>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8"/>
        <w:ind w:firstLine="480"/>
        <w:jc w:val="righ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8"/>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注：开标一览表与苏采云系统中不一致的，以系统中生成格式为准。</w:t>
      </w:r>
      <w:bookmarkStart w:id="286" w:name="_GoBack"/>
      <w:r/>
      <w:bookmarkEnd w:id="286"/>
      <w:r/>
      <w:r/>
    </w:p>
    <w:p>
      <w:pPr>
        <w:pStyle w:val="718"/>
        <w:ind w:firstLine="48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jc w:val="center"/>
        <w:rPr>
          <w:rFonts w:hint="eastAsia"/>
          <w:sz w:val="40"/>
          <w:szCs w:val="48"/>
        </w:rPr>
      </w:pPr>
      <w:r/>
      <w:bookmarkStart w:id="276" w:name="_Toc10118"/>
      <w:r/>
      <w:bookmarkStart w:id="277" w:name="_Toc28642"/>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四</w:t>
      </w:r>
      <w:r>
        <w:rPr>
          <w:rFonts w:hint="eastAsia" w:ascii="宋体" w:hAnsi="宋体" w:eastAsia="宋体" w:cs="宋体"/>
          <w:b/>
          <w:bCs/>
          <w:color w:val="auto"/>
          <w:sz w:val="32"/>
          <w:szCs w:val="32"/>
          <w:highlight w:val="none"/>
        </w:rPr>
        <w:t xml:space="preserve">、</w:t>
      </w:r>
      <w:bookmarkEnd w:id="276"/>
      <w:r/>
      <w:bookmarkEnd w:id="277"/>
      <w:r>
        <w:rPr>
          <w:rFonts w:hint="eastAsia" w:ascii="宋体" w:hAnsi="宋体" w:eastAsia="宋体" w:cs="宋体"/>
          <w:b/>
          <w:bCs/>
          <w:color w:val="auto"/>
          <w:sz w:val="32"/>
          <w:szCs w:val="32"/>
          <w:highlight w:val="none"/>
        </w:rPr>
        <w:t xml:space="preserve">承诺函</w:t>
      </w:r>
      <w:r/>
    </w:p>
    <w:p>
      <w:pPr>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u w:val="single"/>
        </w:rPr>
        <w:t xml:space="preserve">（采购人）</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本单位作为本次项目的投标</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，针对本项目成品油运输、加注等服务事项，郑重作出如下承诺：</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本单位承诺严格按照国家及地方现行相关法律法规、监管规定，开展成品油经营、运输及加注等全部服务活动。</w:t>
      </w:r>
      <w:r/>
    </w:p>
    <w:p>
      <w:pPr>
        <w:ind w:firstLine="480"/>
        <w:keepLines w:val="0"/>
        <w:keepNext w:val="0"/>
        <w:pageBreakBefore w:val="0"/>
        <w:spacing w:line="5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如在成品油零售网点以外开展运输、加注等经营活动，按规定需向有关主管部门报备或审批的，本单位将严格遵守各项管理要求，自行办理相关手续，并承担由此产生的全部费用与责</w:t>
      </w:r>
      <w:r>
        <w:rPr>
          <w:rFonts w:hint="eastAsia" w:ascii="宋体" w:hAnsi="宋体" w:eastAsia="宋体" w:cs="宋体"/>
          <w:color w:val="auto"/>
          <w:sz w:val="24"/>
          <w:szCs w:val="24"/>
          <w:lang w:val="en-US" w:eastAsia="zh-CN"/>
        </w:rPr>
        <w:t xml:space="preserve">任</w:t>
      </w:r>
      <w:r>
        <w:rPr>
          <w:rFonts w:hint="eastAsia" w:ascii="宋体" w:hAnsi="宋体" w:eastAsia="宋体" w:cs="宋体"/>
          <w:color w:val="auto"/>
          <w:sz w:val="24"/>
          <w:szCs w:val="24"/>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若本单位违反上述承诺，未遵守相关管理规定，或未按要求完成报备、审批等手续擅自开展业务，由此产生的全部风险、行政处罚（包括但不限于罚款、责令整改等）、经济损失、法律责任及各类不良后果，均由本单位自行承担。</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本承诺函内容真实有效，为本投标文件不可分割的组成部分。</w:t>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t xml:space="preserve">承诺单位（加盖单位公章）：____________________</w:t>
      </w:r>
      <w:r/>
    </w:p>
    <w:p>
      <w:pPr>
        <w:ind w:firstLine="480"/>
        <w:jc w:val="right"/>
        <w:keepLines w:val="0"/>
        <w:keepNext w:val="0"/>
        <w:pageBreakBefore w:val="0"/>
        <w:spacing w:line="520" w:lineRule="exact"/>
        <w:widowControl w:val="off"/>
        <w:rPr>
          <w:rFonts w:hint="eastAsia"/>
          <w:sz w:val="24"/>
          <w:szCs w:val="24"/>
        </w:rPr>
      </w:pPr>
      <w:r>
        <w:rPr>
          <w:rFonts w:hint="eastAsia"/>
          <w:sz w:val="24"/>
          <w:szCs w:val="24"/>
        </w:rPr>
        <w:t xml:space="preserve">法定代表 /授权委托人（签字或盖章）：____________________</w:t>
      </w:r>
      <w:r/>
    </w:p>
    <w:p>
      <w:pPr>
        <w:ind w:firstLine="480"/>
        <w:jc w:val="right"/>
        <w:keepLines w:val="0"/>
        <w:keepNext w:val="0"/>
        <w:pageBreakBefore w:val="0"/>
        <w:spacing w:line="520" w:lineRule="exact"/>
        <w:widowControl w:val="off"/>
        <w:rPr>
          <w:sz w:val="24"/>
          <w:szCs w:val="24"/>
        </w:rPr>
      </w:pPr>
      <w:r>
        <w:rPr>
          <w:rFonts w:hint="eastAsia"/>
          <w:sz w:val="24"/>
          <w:szCs w:val="24"/>
        </w:rPr>
        <w:t xml:space="preserve">日 期：______年____月____日</w:t>
      </w:r>
      <w:r/>
    </w:p>
    <w:p>
      <w:pPr>
        <w:jc w:val="center"/>
        <w:spacing w:before="50" w:after="50"/>
        <w:widowControl/>
        <w:rPr>
          <w:rFonts w:ascii="宋体" w:hAnsi="宋体" w:eastAsia="宋体" w:cs="宋体"/>
          <w:b/>
          <w:bCs/>
          <w:color w:val="auto"/>
          <w:sz w:val="24"/>
          <w:highlight w:val="none"/>
        </w:rPr>
        <w:outlineLvl w:val="0"/>
      </w:pPr>
      <w:r>
        <w:rPr>
          <w:rFonts w:ascii="宋体" w:hAnsi="宋体" w:eastAsia="宋体" w:cs="宋体"/>
          <w:b/>
          <w:bCs/>
          <w:color w:val="auto"/>
          <w:sz w:val="24"/>
          <w:highlight w:val="none"/>
        </w:rPr>
      </w:r>
      <w:r/>
    </w:p>
    <w:p>
      <w:pPr>
        <w:pStyle w:val="718"/>
        <w:jc w:val="both"/>
        <w:spacing w:beforeAutospacing="0" w:afterAutospacing="0"/>
        <w:tabs>
          <w:tab w:val="left" w:pos="2160" w:leader="none"/>
        </w:tabs>
        <w:rPr>
          <w:color w:val="auto"/>
          <w:highlight w:val="none"/>
        </w:rPr>
      </w:pPr>
      <w:r>
        <w:rPr>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99" w:lineRule="atLeast"/>
        <w:widowControl/>
        <w:rPr>
          <w:rFonts w:ascii="宋体" w:hAnsi="宋体" w:eastAsia="宋体" w:cs="宋体"/>
          <w:b/>
          <w:bCs/>
          <w:color w:val="auto"/>
          <w:sz w:val="24"/>
          <w:highlight w:val="none"/>
        </w:rPr>
        <w:outlineLvl w:val="0"/>
      </w:pPr>
      <w:r/>
      <w:bookmarkStart w:id="278" w:name="_Toc2903"/>
      <w:r/>
      <w:bookmarkStart w:id="279" w:name="_Toc14808"/>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、盐城市政府采购事前信用承诺书</w:t>
      </w:r>
      <w:bookmarkEnd w:id="278"/>
      <w:r/>
      <w:bookmarkEnd w:id="279"/>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4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96"/>
      <w:r/>
      <w:bookmarkEnd w:id="197"/>
      <w:r/>
      <w:bookmarkEnd w:id="236"/>
      <w:r/>
      <w:bookmarkEnd w:id="237"/>
      <w:r/>
      <w:bookmarkEnd w:id="255"/>
      <w:r/>
      <w:bookmarkEnd w:id="256"/>
      <w:r/>
      <w:bookmarkEnd w:id="257"/>
      <w:r/>
      <w:bookmarkEnd w:id="268"/>
      <w:r/>
      <w:bookmarkEnd w:id="269"/>
      <w:r/>
      <w:bookmarkEnd w:id="270"/>
      <w:r/>
      <w:bookmarkEnd w:id="271"/>
      <w:r/>
      <w:bookmarkEnd w:id="272"/>
      <w:r/>
      <w:bookmarkEnd w:id="273"/>
      <w:r/>
      <w:r/>
    </w:p>
    <w:p>
      <w:pPr>
        <w:pStyle w:val="718"/>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8"/>
        <w:jc w:val="center"/>
        <w:spacing w:beforeAutospacing="0" w:afterAutospacing="0"/>
        <w:rPr>
          <w:rFonts w:ascii="宋体" w:hAnsi="宋体" w:eastAsia="宋体" w:cs="宋体"/>
          <w:b/>
          <w:color w:val="auto"/>
          <w:sz w:val="32"/>
          <w:szCs w:val="32"/>
          <w:highlight w:val="none"/>
        </w:rPr>
        <w:outlineLvl w:val="0"/>
      </w:pPr>
      <w:r/>
      <w:bookmarkStart w:id="280" w:name="_Toc3422"/>
      <w:r/>
      <w:bookmarkStart w:id="281" w:name="_Toc23410"/>
      <w:r>
        <w:rPr>
          <w:rFonts w:hint="eastAsia" w:ascii="宋体" w:hAnsi="宋体" w:eastAsia="宋体" w:cs="宋体"/>
          <w:b/>
          <w:color w:val="auto"/>
          <w:sz w:val="32"/>
          <w:szCs w:val="32"/>
          <w:highlight w:val="none"/>
        </w:rPr>
        <w:t xml:space="preserve">质疑函范本</w:t>
      </w:r>
      <w:bookmarkEnd w:id="280"/>
      <w:r/>
      <w:bookmarkEnd w:id="281"/>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282" w:name="_Toc12043"/>
      <w:r>
        <w:rPr>
          <w:rFonts w:hint="eastAsia" w:ascii="宋体" w:hAnsi="宋体" w:eastAsia="宋体" w:cs="宋体"/>
          <w:color w:val="auto"/>
          <w:highlight w:val="none"/>
        </w:rPr>
        <w:t xml:space="preserve">一、质疑供应商基本信息</w:t>
      </w:r>
      <w:bookmarkEnd w:id="282"/>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283" w:name="_Toc9195"/>
      <w:r>
        <w:rPr>
          <w:rFonts w:hint="eastAsia" w:ascii="宋体" w:hAnsi="宋体" w:eastAsia="宋体" w:cs="宋体"/>
          <w:color w:val="auto"/>
          <w:highlight w:val="none"/>
        </w:rPr>
        <w:t xml:space="preserve">二、质疑项目基本情况</w:t>
      </w:r>
      <w:bookmarkEnd w:id="283"/>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284" w:name="_Toc1025"/>
      <w:r>
        <w:rPr>
          <w:rFonts w:hint="eastAsia" w:ascii="宋体" w:hAnsi="宋体" w:eastAsia="宋体" w:cs="宋体"/>
          <w:color w:val="auto"/>
          <w:highlight w:val="none"/>
        </w:rPr>
        <w:t xml:space="preserve">三、质疑事项具体内容</w:t>
      </w:r>
      <w:bookmarkEnd w:id="284"/>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8"/>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outlineLvl w:val="1"/>
      </w:pPr>
      <w:r/>
      <w:bookmarkStart w:id="285" w:name="_Toc588"/>
      <w:r>
        <w:rPr>
          <w:rFonts w:hint="eastAsia" w:ascii="宋体" w:hAnsi="宋体" w:eastAsia="宋体" w:cs="宋体"/>
          <w:color w:val="auto"/>
          <w:highlight w:val="none"/>
        </w:rPr>
        <w:t xml:space="preserve">四、与质疑事项相关的质疑请求</w:t>
      </w:r>
      <w:bookmarkEnd w:id="285"/>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8"/>
        <w:jc w:val="both"/>
        <w:keepLines w:val="0"/>
        <w:keepNext w:val="0"/>
        <w:pageBreakBefore w:val="0"/>
        <w:spacing w:beforeAutospacing="0" w:afterAutospacing="0" w:line="520" w:lineRule="exac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8"/>
        <w:ind w:firstLine="480"/>
        <w:keepLines w:val="0"/>
        <w:keepNext w:val="0"/>
        <w:pageBreakBefore w:val="0"/>
        <w:spacing w:beforeAutospacing="0" w:afterAutospacing="0" w:line="52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8"/>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lvlOverride w:ilvl="0">
      <w:startOverride w:val="16"/>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6">
    <w:name w:val="Heading 1"/>
    <w:basedOn w:val="685"/>
    <w:next w:val="685"/>
    <w:link w:val="727"/>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8">
    <w:name w:val="Heading 3"/>
    <w:basedOn w:val="685"/>
    <w:next w:val="685"/>
    <w:link w:val="729"/>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30"/>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31"/>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2"/>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34"/>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35"/>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Caption"/>
    <w:basedOn w:val="685"/>
    <w:next w:val="68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9">
    <w:name w:val="annotation text"/>
    <w:basedOn w:val="685"/>
    <w:uiPriority w:val="0"/>
    <w:qFormat/>
    <w:pPr>
      <w:jc w:val="left"/>
    </w:pPr>
  </w:style>
  <w:style w:type="paragraph" w:styleId="700">
    <w:name w:val="Body Text"/>
    <w:basedOn w:val="685"/>
    <w:uiPriority w:val="0"/>
    <w:semiHidden/>
    <w:qFormat/>
    <w:rPr>
      <w:rFonts w:ascii="仿宋" w:hAnsi="仿宋" w:eastAsia="仿宋" w:cs="仿宋"/>
      <w:sz w:val="31"/>
      <w:szCs w:val="31"/>
      <w:lang w:val="en-US" w:eastAsia="en-US" w:bidi="ar-SA"/>
    </w:rPr>
  </w:style>
  <w:style w:type="paragraph" w:styleId="701">
    <w:name w:val="Body Text Indent"/>
    <w:basedOn w:val="685"/>
    <w:next w:val="702"/>
    <w:uiPriority w:val="0"/>
    <w:qFormat/>
    <w:pPr>
      <w:ind w:firstLine="615"/>
    </w:pPr>
    <w:rPr>
      <w:rFonts w:eastAsia="仿宋_GB2312"/>
      <w:sz w:val="32"/>
      <w:szCs w:val="20"/>
      <w:u w:val="single"/>
    </w:rPr>
  </w:style>
  <w:style w:type="paragraph" w:styleId="702">
    <w:name w:val="envelope return"/>
    <w:basedOn w:val="685"/>
    <w:uiPriority w:val="0"/>
    <w:qFormat/>
    <w:rPr>
      <w:rFonts w:ascii="Arial" w:hAnsi="Arial"/>
    </w:rPr>
  </w:style>
  <w:style w:type="paragraph" w:styleId="703">
    <w:name w:val="toc 5"/>
    <w:basedOn w:val="685"/>
    <w:next w:val="685"/>
    <w:uiPriority w:val="39"/>
    <w:unhideWhenUsed/>
    <w:qFormat/>
    <w:pPr>
      <w:ind w:left="1134" w:right="0" w:firstLine="0"/>
      <w:spacing w:after="57"/>
    </w:pPr>
  </w:style>
  <w:style w:type="paragraph" w:styleId="704">
    <w:name w:val="toc 3"/>
    <w:basedOn w:val="685"/>
    <w:next w:val="685"/>
    <w:uiPriority w:val="0"/>
    <w:qFormat/>
    <w:pPr>
      <w:ind w:left="840"/>
    </w:pPr>
  </w:style>
  <w:style w:type="paragraph" w:styleId="705">
    <w:name w:val="Plain Text"/>
    <w:basedOn w:val="685"/>
    <w:uiPriority w:val="0"/>
    <w:unhideWhenUsed/>
    <w:qFormat/>
    <w:rPr>
      <w:rFonts w:ascii="宋体" w:hAnsi="Courier New" w:cs="Courier New"/>
      <w:szCs w:val="21"/>
    </w:rPr>
  </w:style>
  <w:style w:type="paragraph" w:styleId="706">
    <w:name w:val="toc 8"/>
    <w:basedOn w:val="685"/>
    <w:next w:val="685"/>
    <w:uiPriority w:val="39"/>
    <w:unhideWhenUsed/>
    <w:qFormat/>
    <w:pPr>
      <w:ind w:left="1984" w:right="0" w:firstLine="0"/>
      <w:spacing w:after="57"/>
    </w:pPr>
  </w:style>
  <w:style w:type="paragraph" w:styleId="707">
    <w:name w:val="endnote text"/>
    <w:basedOn w:val="685"/>
    <w:link w:val="873"/>
    <w:uiPriority w:val="99"/>
    <w:semiHidden/>
    <w:unhideWhenUsed/>
    <w:qFormat/>
    <w:pPr>
      <w:spacing w:after="0" w:line="240" w:lineRule="auto"/>
    </w:pPr>
    <w:rPr>
      <w:sz w:val="20"/>
    </w:rPr>
  </w:style>
  <w:style w:type="paragraph" w:styleId="708">
    <w:name w:val="Footer"/>
    <w:basedOn w:val="685"/>
    <w:link w:val="878"/>
    <w:uiPriority w:val="0"/>
    <w:qFormat/>
    <w:pPr>
      <w:jc w:val="left"/>
      <w:tabs>
        <w:tab w:val="center" w:pos="4153" w:leader="none"/>
        <w:tab w:val="right" w:pos="8306" w:leader="none"/>
      </w:tabs>
    </w:pPr>
    <w:rPr>
      <w:sz w:val="18"/>
      <w:szCs w:val="18"/>
    </w:rPr>
  </w:style>
  <w:style w:type="paragraph" w:styleId="709">
    <w:name w:val="Header"/>
    <w:basedOn w:val="685"/>
    <w:link w:val="877"/>
    <w:uiPriority w:val="0"/>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5"/>
    <w:next w:val="685"/>
    <w:uiPriority w:val="0"/>
    <w:qFormat/>
  </w:style>
  <w:style w:type="paragraph" w:styleId="711">
    <w:name w:val="toc 4"/>
    <w:basedOn w:val="685"/>
    <w:next w:val="685"/>
    <w:uiPriority w:val="39"/>
    <w:unhideWhenUsed/>
    <w:qFormat/>
    <w:pPr>
      <w:ind w:left="850" w:right="0" w:firstLine="0"/>
      <w:spacing w:after="57"/>
    </w:pPr>
  </w:style>
  <w:style w:type="paragraph" w:styleId="712">
    <w:name w:val="Subtitle"/>
    <w:basedOn w:val="685"/>
    <w:next w:val="685"/>
    <w:link w:val="739"/>
    <w:uiPriority w:val="11"/>
    <w:qFormat/>
    <w:pPr>
      <w:spacing w:before="200" w:after="200"/>
    </w:pPr>
    <w:rPr>
      <w:sz w:val="24"/>
      <w:szCs w:val="24"/>
    </w:rPr>
  </w:style>
  <w:style w:type="paragraph" w:styleId="713">
    <w:name w:val="footnote text"/>
    <w:basedOn w:val="685"/>
    <w:link w:val="872"/>
    <w:uiPriority w:val="99"/>
    <w:semiHidden/>
    <w:unhideWhenUsed/>
    <w:qFormat/>
    <w:pPr>
      <w:spacing w:after="40" w:line="240" w:lineRule="auto"/>
    </w:pPr>
    <w:rPr>
      <w:sz w:val="18"/>
    </w:rPr>
  </w:style>
  <w:style w:type="paragraph" w:styleId="714">
    <w:name w:val="toc 6"/>
    <w:basedOn w:val="685"/>
    <w:next w:val="685"/>
    <w:uiPriority w:val="39"/>
    <w:unhideWhenUsed/>
    <w:qFormat/>
    <w:pPr>
      <w:ind w:left="1417" w:right="0" w:firstLine="0"/>
      <w:spacing w:after="57"/>
    </w:pPr>
  </w:style>
  <w:style w:type="paragraph" w:styleId="715">
    <w:name w:val="table of figures"/>
    <w:basedOn w:val="685"/>
    <w:next w:val="685"/>
    <w:uiPriority w:val="99"/>
    <w:unhideWhenUsed/>
    <w:qFormat/>
    <w:pPr>
      <w:spacing w:after="0" w:afterAutospacing="0"/>
    </w:pPr>
  </w:style>
  <w:style w:type="paragraph" w:styleId="716">
    <w:name w:val="toc 2"/>
    <w:basedOn w:val="685"/>
    <w:next w:val="685"/>
    <w:uiPriority w:val="0"/>
    <w:qFormat/>
    <w:pPr>
      <w:ind w:left="420"/>
    </w:pPr>
  </w:style>
  <w:style w:type="paragraph" w:styleId="717">
    <w:name w:val="toc 9"/>
    <w:basedOn w:val="685"/>
    <w:next w:val="685"/>
    <w:uiPriority w:val="39"/>
    <w:unhideWhenUsed/>
    <w:qFormat/>
    <w:pPr>
      <w:ind w:left="2268" w:right="0" w:firstLine="0"/>
      <w:spacing w:after="57"/>
    </w:pPr>
  </w:style>
  <w:style w:type="paragraph" w:styleId="718">
    <w:name w:val="Normal (Web)"/>
    <w:basedOn w:val="685"/>
    <w:uiPriority w:val="0"/>
    <w:qFormat/>
    <w:pPr>
      <w:jc w:val="left"/>
      <w:spacing w:beforeAutospacing="1" w:afterAutospacing="1"/>
    </w:pPr>
    <w:rPr>
      <w:rFonts w:cs="Times New Roman"/>
      <w:sz w:val="24"/>
    </w:rPr>
  </w:style>
  <w:style w:type="paragraph" w:styleId="719">
    <w:name w:val="Title"/>
    <w:basedOn w:val="685"/>
    <w:next w:val="685"/>
    <w:link w:val="738"/>
    <w:uiPriority w:val="10"/>
    <w:qFormat/>
    <w:pPr>
      <w:contextualSpacing/>
      <w:spacing w:before="300" w:after="200"/>
    </w:pPr>
    <w:rPr>
      <w:sz w:val="48"/>
      <w:szCs w:val="48"/>
    </w:rPr>
  </w:style>
  <w:style w:type="paragraph" w:styleId="720">
    <w:name w:val="Body Text First Indent"/>
    <w:basedOn w:val="685"/>
    <w:uiPriority w:val="0"/>
    <w:qFormat/>
    <w:pPr>
      <w:ind w:firstLine="420"/>
    </w:pPr>
    <w:rPr>
      <w:rFonts w:ascii="楷体_GB2312" w:hAnsi="Times New Roman" w:eastAsia="楷体_GB2312"/>
      <w:sz w:val="32"/>
      <w:szCs w:val="20"/>
    </w:rPr>
  </w:style>
  <w:style w:type="paragraph" w:styleId="721">
    <w:name w:val="Body Text First Indent 2"/>
    <w:basedOn w:val="701"/>
    <w:uiPriority w:val="0"/>
    <w:qFormat/>
    <w:pPr>
      <w:ind w:firstLine="420"/>
    </w:pPr>
  </w:style>
  <w:style w:type="table" w:styleId="722">
    <w:name w:val="Table Grid"/>
    <w:basedOn w:val="69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95"/>
    <w:uiPriority w:val="0"/>
    <w:qFormat/>
    <w:rPr>
      <w:b/>
    </w:rPr>
  </w:style>
  <w:style w:type="character" w:styleId="724">
    <w:name w:val="endnote reference"/>
    <w:basedOn w:val="695"/>
    <w:uiPriority w:val="99"/>
    <w:semiHidden/>
    <w:unhideWhenUsed/>
    <w:qFormat/>
    <w:rPr>
      <w:vertAlign w:val="superscript"/>
    </w:rPr>
  </w:style>
  <w:style w:type="character" w:styleId="725">
    <w:name w:val="Hyperlink"/>
    <w:uiPriority w:val="99"/>
    <w:unhideWhenUsed/>
    <w:qFormat/>
    <w:rPr>
      <w:color w:val="0563c1" w:themeColor="hyperlink"/>
      <w:u w:val="single"/>
      <w14:textFill>
        <w14:solidFill>
          <w14:schemeClr w14:val="hlink"/>
        </w14:solidFill>
      </w14:textFill>
    </w:rPr>
  </w:style>
  <w:style w:type="character" w:styleId="726">
    <w:name w:val="footnote reference"/>
    <w:basedOn w:val="695"/>
    <w:uiPriority w:val="99"/>
    <w:unhideWhenUsed/>
    <w:qFormat/>
    <w:rPr>
      <w:vertAlign w:val="superscript"/>
    </w:rPr>
  </w:style>
  <w:style w:type="character" w:styleId="727" w:customStyle="1">
    <w:name w:val="Heading 1 Char"/>
    <w:basedOn w:val="695"/>
    <w:link w:val="686"/>
    <w:uiPriority w:val="9"/>
    <w:qFormat/>
    <w:rPr>
      <w:rFonts w:ascii="Arial" w:hAnsi="Arial" w:eastAsia="Arial" w:cs="Arial"/>
      <w:sz w:val="40"/>
      <w:szCs w:val="40"/>
    </w:rPr>
  </w:style>
  <w:style w:type="character" w:styleId="728" w:customStyle="1">
    <w:name w:val="Heading 2 Char"/>
    <w:basedOn w:val="695"/>
    <w:uiPriority w:val="9"/>
    <w:qFormat/>
    <w:rPr>
      <w:rFonts w:ascii="Arial" w:hAnsi="Arial" w:eastAsia="Arial" w:cs="Arial"/>
      <w:sz w:val="34"/>
    </w:rPr>
  </w:style>
  <w:style w:type="character" w:styleId="729" w:customStyle="1">
    <w:name w:val="Heading 3 Char"/>
    <w:basedOn w:val="695"/>
    <w:link w:val="688"/>
    <w:uiPriority w:val="9"/>
    <w:qFormat/>
    <w:rPr>
      <w:rFonts w:ascii="Arial" w:hAnsi="Arial" w:eastAsia="Arial" w:cs="Arial"/>
      <w:sz w:val="30"/>
      <w:szCs w:val="30"/>
    </w:rPr>
  </w:style>
  <w:style w:type="character" w:styleId="730" w:customStyle="1">
    <w:name w:val="Heading 4 Char"/>
    <w:basedOn w:val="695"/>
    <w:link w:val="689"/>
    <w:uiPriority w:val="9"/>
    <w:qFormat/>
    <w:rPr>
      <w:rFonts w:ascii="Arial" w:hAnsi="Arial" w:eastAsia="Arial" w:cs="Arial"/>
      <w:b/>
      <w:bCs/>
      <w:sz w:val="26"/>
      <w:szCs w:val="26"/>
    </w:rPr>
  </w:style>
  <w:style w:type="character" w:styleId="731" w:customStyle="1">
    <w:name w:val="Heading 5 Char"/>
    <w:basedOn w:val="695"/>
    <w:link w:val="690"/>
    <w:uiPriority w:val="9"/>
    <w:qFormat/>
    <w:rPr>
      <w:rFonts w:ascii="Arial" w:hAnsi="Arial" w:eastAsia="Arial" w:cs="Arial"/>
      <w:b/>
      <w:bCs/>
      <w:sz w:val="24"/>
      <w:szCs w:val="24"/>
    </w:rPr>
  </w:style>
  <w:style w:type="character" w:styleId="732" w:customStyle="1">
    <w:name w:val="Heading 6 Char"/>
    <w:basedOn w:val="695"/>
    <w:link w:val="691"/>
    <w:uiPriority w:val="9"/>
    <w:qFormat/>
    <w:rPr>
      <w:rFonts w:ascii="Arial" w:hAnsi="Arial" w:eastAsia="Arial" w:cs="Arial"/>
      <w:b/>
      <w:bCs/>
      <w:sz w:val="22"/>
      <w:szCs w:val="22"/>
    </w:rPr>
  </w:style>
  <w:style w:type="character" w:styleId="733" w:customStyle="1">
    <w:name w:val="Heading 7 Char"/>
    <w:basedOn w:val="695"/>
    <w:link w:val="692"/>
    <w:uiPriority w:val="9"/>
    <w:qFormat/>
    <w:rPr>
      <w:rFonts w:ascii="Arial" w:hAnsi="Arial" w:eastAsia="Arial" w:cs="Arial"/>
      <w:b/>
      <w:bCs/>
      <w:i/>
      <w:iCs/>
      <w:sz w:val="22"/>
      <w:szCs w:val="22"/>
    </w:rPr>
  </w:style>
  <w:style w:type="character" w:styleId="734" w:customStyle="1">
    <w:name w:val="Heading 8 Char"/>
    <w:basedOn w:val="695"/>
    <w:link w:val="693"/>
    <w:uiPriority w:val="9"/>
    <w:qFormat/>
    <w:rPr>
      <w:rFonts w:ascii="Arial" w:hAnsi="Arial" w:eastAsia="Arial" w:cs="Arial"/>
      <w:i/>
      <w:iCs/>
      <w:sz w:val="22"/>
      <w:szCs w:val="22"/>
    </w:rPr>
  </w:style>
  <w:style w:type="character" w:styleId="735" w:customStyle="1">
    <w:name w:val="Heading 9 Char"/>
    <w:basedOn w:val="695"/>
    <w:link w:val="694"/>
    <w:uiPriority w:val="9"/>
    <w:qFormat/>
    <w:rPr>
      <w:rFonts w:ascii="Arial" w:hAnsi="Arial" w:eastAsia="Arial" w:cs="Arial"/>
      <w:i/>
      <w:iCs/>
      <w:sz w:val="21"/>
      <w:szCs w:val="21"/>
    </w:rPr>
  </w:style>
  <w:style w:type="paragraph" w:styleId="736">
    <w:name w:val="List Paragraph"/>
    <w:basedOn w:val="685"/>
    <w:uiPriority w:val="34"/>
    <w:qFormat/>
    <w:pPr>
      <w:contextualSpacing/>
      <w:ind w:left="720"/>
    </w:p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character" w:styleId="738" w:customStyle="1">
    <w:name w:val="Title Char"/>
    <w:basedOn w:val="695"/>
    <w:link w:val="719"/>
    <w:uiPriority w:val="10"/>
    <w:qFormat/>
    <w:rPr>
      <w:sz w:val="48"/>
      <w:szCs w:val="48"/>
    </w:rPr>
  </w:style>
  <w:style w:type="character" w:styleId="739" w:customStyle="1">
    <w:name w:val="Subtitle Char"/>
    <w:basedOn w:val="695"/>
    <w:link w:val="712"/>
    <w:uiPriority w:val="11"/>
    <w:qFormat/>
    <w:rPr>
      <w:sz w:val="24"/>
      <w:szCs w:val="24"/>
    </w:rPr>
  </w:style>
  <w:style w:type="paragraph" w:styleId="740">
    <w:name w:val="Quote"/>
    <w:basedOn w:val="685"/>
    <w:next w:val="685"/>
    <w:link w:val="741"/>
    <w:uiPriority w:val="29"/>
    <w:qFormat/>
    <w:pPr>
      <w:ind w:left="720" w:right="720"/>
    </w:pPr>
    <w:rPr>
      <w:i/>
    </w:rPr>
  </w:style>
  <w:style w:type="character" w:styleId="741" w:customStyle="1">
    <w:name w:val="Quote Char"/>
    <w:link w:val="740"/>
    <w:uiPriority w:val="29"/>
    <w:qFormat/>
    <w:rPr>
      <w:i/>
    </w:rPr>
  </w:style>
  <w:style w:type="paragraph" w:styleId="742">
    <w:name w:val="Intense Quote"/>
    <w:basedOn w:val="685"/>
    <w:next w:val="685"/>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Intense Quote Char"/>
    <w:link w:val="742"/>
    <w:uiPriority w:val="30"/>
    <w:qFormat/>
    <w:rPr>
      <w:i/>
    </w:rPr>
  </w:style>
  <w:style w:type="character" w:styleId="744" w:customStyle="1">
    <w:name w:val="Header Char"/>
    <w:basedOn w:val="695"/>
    <w:uiPriority w:val="99"/>
    <w:qFormat/>
  </w:style>
  <w:style w:type="character" w:styleId="745" w:customStyle="1">
    <w:name w:val="Footer Char"/>
    <w:basedOn w:val="695"/>
    <w:uiPriority w:val="99"/>
    <w:qFormat/>
  </w:style>
  <w:style w:type="character" w:styleId="746" w:customStyle="1">
    <w:name w:val="Caption Char"/>
    <w:uiPriority w:val="99"/>
    <w:qFormat/>
  </w:style>
  <w:style w:type="table" w:styleId="747"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9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9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9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9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9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9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9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6" w:customStyle="1">
    <w:name w:val="Grid Table 4 - Accent 2"/>
    <w:basedOn w:val="69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7" w:customStyle="1">
    <w:name w:val="Grid Table 4 - Accent 3"/>
    <w:basedOn w:val="69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8" w:customStyle="1">
    <w:name w:val="Grid Table 4 - Accent 4"/>
    <w:basedOn w:val="69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9" w:customStyle="1">
    <w:name w:val="Grid Table 4 - Accent 5"/>
    <w:basedOn w:val="69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0" w:customStyle="1">
    <w:name w:val="Grid Table 4 - Accent 6"/>
    <w:basedOn w:val="69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1"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3"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4"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5"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6"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7"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8"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6 Colorful - Accent 1"/>
    <w:basedOn w:val="69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0" w:customStyle="1">
    <w:name w:val="Grid Table 6 Colorful - Accent 2"/>
    <w:basedOn w:val="6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1" w:customStyle="1">
    <w:name w:val="Grid Table 6 Colorful - Accent 3"/>
    <w:basedOn w:val="69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2" w:customStyle="1">
    <w:name w:val="Grid Table 6 Colorful - Accent 4"/>
    <w:basedOn w:val="6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3" w:customStyle="1">
    <w:name w:val="Grid Table 6 Colorful - Accent 5"/>
    <w:basedOn w:val="69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4" w:customStyle="1">
    <w:name w:val="Grid Table 6 Colorful - Accent 6"/>
    <w:basedOn w:val="69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5"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2 - Accent 1"/>
    <w:basedOn w:val="69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1" w:customStyle="1">
    <w:name w:val="List Table 2 - Accent 2"/>
    <w:basedOn w:val="69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2" w:customStyle="1">
    <w:name w:val="List Table 2 - Accent 3"/>
    <w:basedOn w:val="69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3" w:customStyle="1">
    <w:name w:val="List Table 2 - Accent 4"/>
    <w:basedOn w:val="69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4" w:customStyle="1">
    <w:name w:val="List Table 2 - Accent 5"/>
    <w:basedOn w:val="69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5" w:customStyle="1">
    <w:name w:val="List Table 2 - Accent 6"/>
    <w:basedOn w:val="69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6"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3 - Accent 2"/>
    <w:basedOn w:val="69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3"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4 - Accent 2"/>
    <w:basedOn w:val="69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6" w:customStyle="1">
    <w:name w:val="List Table 4 - Accent 3"/>
    <w:basedOn w:val="69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7" w:customStyle="1">
    <w:name w:val="List Table 4 - Accent 4"/>
    <w:basedOn w:val="69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8" w:customStyle="1">
    <w:name w:val="List Table 4 - Accent 5"/>
    <w:basedOn w:val="69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9" w:customStyle="1">
    <w:name w:val="List Table 4 - Accent 6"/>
    <w:basedOn w:val="69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0"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1"/>
    <w:basedOn w:val="69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2"/>
    <w:basedOn w:val="69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3"/>
    <w:basedOn w:val="69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4"/>
    <w:basedOn w:val="69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5"/>
    <w:basedOn w:val="69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6"/>
    <w:basedOn w:val="69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6 Colorful - Accent 1"/>
    <w:basedOn w:val="69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9" w:customStyle="1">
    <w:name w:val="List Table 6 Colorful - Accent 2"/>
    <w:basedOn w:val="69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0" w:customStyle="1">
    <w:name w:val="List Table 6 Colorful - Accent 3"/>
    <w:basedOn w:val="69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1" w:customStyle="1">
    <w:name w:val="List Table 6 Colorful - Accent 4"/>
    <w:basedOn w:val="69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2" w:customStyle="1">
    <w:name w:val="List Table 6 Colorful - Accent 5"/>
    <w:basedOn w:val="69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3" w:customStyle="1">
    <w:name w:val="List Table 6 Colorful - Accent 6"/>
    <w:basedOn w:val="69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4"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Bordered &amp; Lined - Accent 1"/>
    <w:basedOn w:val="69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0" w:customStyle="1">
    <w:name w:val="Bordered &amp; Lined - Accent 2"/>
    <w:basedOn w:val="69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1" w:customStyle="1">
    <w:name w:val="Bordered &amp; Lined - Accent 3"/>
    <w:basedOn w:val="69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Bordered &amp; Lined - Accent 4"/>
    <w:basedOn w:val="69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3" w:customStyle="1">
    <w:name w:val="Bordered &amp; Lined - Accent 5"/>
    <w:basedOn w:val="69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Bordered &amp; Lined - Accent 6"/>
    <w:basedOn w:val="69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6" w:customStyle="1">
    <w:name w:val="Bordered - Accent 1"/>
    <w:basedOn w:val="69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7" w:customStyle="1">
    <w:name w:val="Bordered - Accent 2"/>
    <w:basedOn w:val="69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8" w:customStyle="1">
    <w:name w:val="Bordered - Accent 3"/>
    <w:basedOn w:val="69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9" w:customStyle="1">
    <w:name w:val="Bordered - Accent 4"/>
    <w:basedOn w:val="69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0" w:customStyle="1">
    <w:name w:val="Bordered - Accent 5"/>
    <w:basedOn w:val="69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1" w:customStyle="1">
    <w:name w:val="Bordered - Accent 6"/>
    <w:basedOn w:val="69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2" w:customStyle="1">
    <w:name w:val="Footnote Text Char"/>
    <w:link w:val="713"/>
    <w:uiPriority w:val="99"/>
    <w:qFormat/>
    <w:rPr>
      <w:sz w:val="18"/>
    </w:rPr>
  </w:style>
  <w:style w:type="character" w:styleId="873" w:customStyle="1">
    <w:name w:val="Endnote Text Char"/>
    <w:link w:val="707"/>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普通正文"/>
    <w:basedOn w:val="685"/>
    <w:uiPriority w:val="0"/>
    <w:qFormat/>
    <w:pPr>
      <w:ind w:firstLine="480"/>
      <w:jc w:val="left"/>
      <w:spacing w:before="120" w:after="120" w:line="360" w:lineRule="auto"/>
    </w:pPr>
    <w:rPr>
      <w:rFonts w:ascii="Arial" w:hAnsi="Arial" w:eastAsia="等线" w:cs="Arial"/>
      <w:sz w:val="24"/>
      <w:szCs w:val="24"/>
    </w:rPr>
  </w:style>
  <w:style w:type="paragraph" w:styleId="876" w:customStyle="1">
    <w:name w:val="Default"/>
    <w:basedOn w:val="685"/>
    <w:uiPriority w:val="0"/>
    <w:semiHidden/>
    <w:qFormat/>
    <w:pPr>
      <w:jc w:val="left"/>
    </w:pPr>
    <w:rPr>
      <w:rFonts w:ascii="宋体" w:hAnsi="Calibri" w:cs="宋体"/>
      <w:color w:val="000000"/>
      <w:sz w:val="24"/>
    </w:rPr>
  </w:style>
  <w:style w:type="character" w:styleId="877" w:customStyle="1">
    <w:name w:val="页眉 Char"/>
    <w:basedOn w:val="695"/>
    <w:link w:val="709"/>
    <w:uiPriority w:val="0"/>
    <w:qFormat/>
    <w:rPr>
      <w:rFonts w:asciiTheme="minorHAnsi" w:hAnsiTheme="minorHAnsi" w:eastAsiaTheme="minorEastAsia" w:cstheme="minorBidi"/>
      <w:sz w:val="18"/>
      <w:szCs w:val="18"/>
    </w:rPr>
  </w:style>
  <w:style w:type="character" w:styleId="878" w:customStyle="1">
    <w:name w:val="页脚 Char"/>
    <w:basedOn w:val="695"/>
    <w:link w:val="708"/>
    <w:uiPriority w:val="0"/>
    <w:qFormat/>
    <w:rPr>
      <w:rFonts w:asciiTheme="minorHAnsi" w:hAnsiTheme="minorHAnsi" w:eastAsiaTheme="minorEastAsia" w:cstheme="minorBidi"/>
      <w:sz w:val="18"/>
      <w:szCs w:val="18"/>
    </w:rPr>
  </w:style>
  <w:style w:type="paragraph" w:styleId="879" w:customStyle="1">
    <w:name w:val="正文首行缩进 21"/>
    <w:basedOn w:val="880"/>
    <w:uiPriority w:val="0"/>
    <w:qFormat/>
    <w:pPr>
      <w:ind w:firstLine="420"/>
    </w:pPr>
  </w:style>
  <w:style w:type="paragraph" w:styleId="880" w:customStyle="1">
    <w:name w:val="正文文本缩进1"/>
    <w:basedOn w:val="685"/>
    <w:uiPriority w:val="0"/>
    <w:qFormat/>
    <w:pPr>
      <w:ind w:left="420"/>
      <w:spacing w:after="120"/>
    </w:pPr>
  </w:style>
  <w:style w:type="character" w:styleId="881" w:customStyle="1">
    <w:name w:val="font31"/>
    <w:basedOn w:val="695"/>
    <w:uiPriority w:val="0"/>
    <w:qFormat/>
    <w:rPr>
      <w:rFonts w:hint="eastAsia" w:ascii="仿宋" w:hAnsi="仿宋" w:eastAsia="仿宋" w:cs="仿宋"/>
      <w:color w:val="ff0000"/>
      <w:sz w:val="24"/>
      <w:szCs w:val="24"/>
      <w:u w:val="none"/>
    </w:rPr>
  </w:style>
  <w:style w:type="character" w:styleId="882" w:customStyle="1">
    <w:name w:val="font11"/>
    <w:basedOn w:val="695"/>
    <w:uiPriority w:val="0"/>
    <w:qFormat/>
    <w:rPr>
      <w:rFonts w:hint="eastAsia" w:ascii="仿宋" w:hAnsi="仿宋" w:eastAsia="仿宋" w:cs="仿宋"/>
      <w:color w:val="000000"/>
      <w:sz w:val="24"/>
      <w:szCs w:val="24"/>
      <w:u w:val="none"/>
    </w:rPr>
  </w:style>
  <w:style w:type="character" w:styleId="883" w:customStyle="1">
    <w:name w:val="font21"/>
    <w:basedOn w:val="695"/>
    <w:uiPriority w:val="0"/>
    <w:qFormat/>
    <w:rPr>
      <w:rFonts w:hint="default" w:ascii="Calibri" w:hAnsi="Calibri" w:cs="Calibri"/>
      <w:color w:val="000000"/>
      <w:sz w:val="24"/>
      <w:szCs w:val="24"/>
      <w:u w:val="none"/>
    </w:rPr>
  </w:style>
  <w:style w:type="paragraph" w:styleId="88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5" w:customStyle="1">
    <w:name w:val="font01"/>
    <w:basedOn w:val="695"/>
    <w:uiPriority w:val="0"/>
    <w:qFormat/>
    <w:rPr>
      <w:rFonts w:hint="eastAsia" w:ascii="宋体" w:hAnsi="宋体" w:eastAsia="宋体" w:cs="宋体"/>
      <w:color w:val="000000"/>
      <w:sz w:val="22"/>
      <w:szCs w:val="22"/>
      <w:u w:val="none"/>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江苏建世工程咨询有限公司</cp:lastModifiedBy>
  <cp:revision>276</cp:revision>
  <dcterms:created xsi:type="dcterms:W3CDTF">2014-10-29T12:08:00Z</dcterms:created>
  <dcterms:modified xsi:type="dcterms:W3CDTF">2026-06-03T08:33:52Z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A3FD9A2CDB09474C8857CD141AE89A15_13</vt:lpwstr>
  </property>
  <property fmtid="{D5CDD505-2E9C-101B-9397-08002B2CF9AE}" pid="4" name="KSOTemplateDocerSaveRecord">
    <vt:lpwstr>eyJoZGlkIjoiNGM1NmM1NjU1MjI4ZWE5YjVkZTMyYmNkMjQ1ODFjZTgiLCJ1c2VySWQiOiIyNTM2MDI3NDcifQ==</vt:lpwstr>
  </property>
</Properties>
</file>